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3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附件2：</w:t>
      </w:r>
    </w:p>
    <w:p>
      <w:pPr>
        <w:jc w:val="center"/>
        <w:rPr>
          <w:rFonts w:ascii="方正小标宋_GBK" w:hAnsi="方正小标宋_GBK" w:eastAsia="方正小标宋_GBK" w:cs="方正小标宋_GBK"/>
          <w:bCs/>
          <w:sz w:val="40"/>
          <w:szCs w:val="44"/>
        </w:rPr>
      </w:pPr>
      <w:r>
        <w:rPr>
          <w:rFonts w:hint="eastAsia" w:ascii="方正小标宋_GBK" w:hAnsi="方正小标宋_GBK" w:eastAsia="方正小标宋_GBK" w:cs="方正小标宋_GBK"/>
          <w:bCs/>
          <w:sz w:val="40"/>
          <w:szCs w:val="44"/>
        </w:rPr>
        <w:t>高淳区省级慢性病综合防控示范区复评审工作任务分解表</w:t>
      </w:r>
    </w:p>
    <w:p>
      <w:pPr>
        <w:jc w:val="center"/>
        <w:rPr>
          <w:rFonts w:ascii="仿宋_GB2312" w:hAnsi="宋体" w:eastAsia="仿宋_GB2312" w:cs="Arial"/>
          <w:b/>
          <w:sz w:val="30"/>
          <w:szCs w:val="30"/>
        </w:rPr>
      </w:pPr>
      <w:r>
        <w:rPr>
          <w:rFonts w:hint="eastAsia" w:ascii="仿宋_GB2312" w:hAnsi="方正小标宋_GBK" w:eastAsia="仿宋_GB2312" w:cs="方正小标宋_GBK"/>
          <w:bCs/>
          <w:sz w:val="30"/>
          <w:szCs w:val="30"/>
        </w:rPr>
        <w:t>（共300分）</w:t>
      </w:r>
    </w:p>
    <w:tbl>
      <w:tblPr>
        <w:tblStyle w:val="5"/>
        <w:tblW w:w="15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295"/>
        <w:gridCol w:w="2387"/>
        <w:gridCol w:w="4991"/>
        <w:gridCol w:w="1596"/>
        <w:gridCol w:w="1124"/>
        <w:gridCol w:w="1355"/>
        <w:gridCol w:w="99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5" w:type="dxa"/>
            <w:vAlign w:val="center"/>
          </w:tcPr>
          <w:p>
            <w:pPr>
              <w:widowControl/>
              <w:adjustRightInd w:val="0"/>
              <w:snapToGrid w:val="0"/>
              <w:jc w:val="center"/>
              <w:rPr>
                <w:rFonts w:ascii="宋体" w:hAnsi="宋体" w:cs="宋体"/>
                <w:b/>
                <w:bCs/>
                <w:kern w:val="0"/>
                <w:szCs w:val="21"/>
              </w:rPr>
            </w:pPr>
            <w:r>
              <w:rPr>
                <w:rFonts w:hint="eastAsia" w:ascii="宋体" w:hAnsi="宋体" w:cs="宋体"/>
                <w:b/>
                <w:bCs/>
                <w:kern w:val="0"/>
                <w:szCs w:val="21"/>
              </w:rPr>
              <w:t>指标</w:t>
            </w:r>
          </w:p>
          <w:p>
            <w:pPr>
              <w:widowControl/>
              <w:adjustRightInd w:val="0"/>
              <w:snapToGrid w:val="0"/>
              <w:jc w:val="center"/>
              <w:rPr>
                <w:rFonts w:ascii="宋体" w:hAnsi="宋体" w:cs="宋体"/>
                <w:b/>
                <w:bCs/>
                <w:kern w:val="0"/>
                <w:szCs w:val="21"/>
              </w:rPr>
            </w:pPr>
            <w:r>
              <w:rPr>
                <w:rFonts w:hint="eastAsia" w:ascii="宋体" w:hAnsi="宋体" w:cs="宋体"/>
                <w:b/>
                <w:bCs/>
                <w:kern w:val="0"/>
                <w:szCs w:val="21"/>
              </w:rPr>
              <w:t>分类</w:t>
            </w:r>
          </w:p>
        </w:tc>
        <w:tc>
          <w:tcPr>
            <w:tcW w:w="1295" w:type="dxa"/>
            <w:vAlign w:val="center"/>
          </w:tcPr>
          <w:p>
            <w:pPr>
              <w:widowControl/>
              <w:adjustRightInd w:val="0"/>
              <w:snapToGrid w:val="0"/>
              <w:jc w:val="center"/>
              <w:rPr>
                <w:rFonts w:ascii="宋体" w:hAnsi="宋体" w:cs="宋体"/>
                <w:b/>
                <w:bCs/>
                <w:kern w:val="0"/>
                <w:szCs w:val="21"/>
              </w:rPr>
            </w:pPr>
            <w:r>
              <w:rPr>
                <w:rFonts w:hint="eastAsia" w:ascii="宋体" w:hAnsi="宋体" w:cs="宋体"/>
                <w:b/>
                <w:bCs/>
                <w:kern w:val="0"/>
                <w:szCs w:val="21"/>
              </w:rPr>
              <w:t>指标内容</w:t>
            </w:r>
          </w:p>
        </w:tc>
        <w:tc>
          <w:tcPr>
            <w:tcW w:w="2387" w:type="dxa"/>
            <w:vAlign w:val="center"/>
          </w:tcPr>
          <w:p>
            <w:pPr>
              <w:widowControl/>
              <w:adjustRightInd w:val="0"/>
              <w:snapToGrid w:val="0"/>
              <w:jc w:val="center"/>
              <w:rPr>
                <w:rFonts w:ascii="宋体" w:hAnsi="宋体" w:cs="宋体"/>
                <w:b/>
                <w:bCs/>
                <w:kern w:val="0"/>
                <w:szCs w:val="21"/>
              </w:rPr>
            </w:pPr>
            <w:r>
              <w:rPr>
                <w:rFonts w:hint="eastAsia" w:ascii="宋体" w:hAnsi="宋体" w:cs="宋体"/>
                <w:b/>
                <w:bCs/>
                <w:kern w:val="0"/>
                <w:szCs w:val="21"/>
              </w:rPr>
              <w:t>指标要求</w:t>
            </w:r>
          </w:p>
        </w:tc>
        <w:tc>
          <w:tcPr>
            <w:tcW w:w="4991" w:type="dxa"/>
            <w:vAlign w:val="center"/>
          </w:tcPr>
          <w:p>
            <w:pPr>
              <w:widowControl/>
              <w:adjustRightInd w:val="0"/>
              <w:snapToGrid w:val="0"/>
              <w:jc w:val="center"/>
              <w:rPr>
                <w:rFonts w:ascii="宋体" w:hAnsi="宋体" w:cs="宋体"/>
                <w:b/>
                <w:bCs/>
                <w:kern w:val="0"/>
                <w:szCs w:val="21"/>
              </w:rPr>
            </w:pPr>
            <w:r>
              <w:rPr>
                <w:rFonts w:hint="eastAsia" w:ascii="宋体" w:hAnsi="宋体" w:cs="宋体"/>
                <w:b/>
                <w:bCs/>
                <w:kern w:val="0"/>
                <w:szCs w:val="21"/>
              </w:rPr>
              <w:t>赋分标准</w:t>
            </w:r>
          </w:p>
        </w:tc>
        <w:tc>
          <w:tcPr>
            <w:tcW w:w="1596" w:type="dxa"/>
            <w:vAlign w:val="center"/>
          </w:tcPr>
          <w:p>
            <w:pPr>
              <w:widowControl/>
              <w:adjustRightInd w:val="0"/>
              <w:snapToGrid w:val="0"/>
              <w:jc w:val="center"/>
              <w:rPr>
                <w:rFonts w:ascii="宋体" w:hAnsi="宋体" w:cs="宋体"/>
                <w:b/>
                <w:bCs/>
                <w:kern w:val="0"/>
                <w:szCs w:val="21"/>
              </w:rPr>
            </w:pPr>
            <w:r>
              <w:rPr>
                <w:rFonts w:hint="eastAsia" w:ascii="宋体" w:hAnsi="宋体" w:cs="宋体"/>
                <w:b/>
                <w:bCs/>
                <w:kern w:val="0"/>
                <w:szCs w:val="21"/>
              </w:rPr>
              <w:t>评价办法</w:t>
            </w:r>
          </w:p>
        </w:tc>
        <w:tc>
          <w:tcPr>
            <w:tcW w:w="1124" w:type="dxa"/>
            <w:vAlign w:val="center"/>
          </w:tcPr>
          <w:p>
            <w:pPr>
              <w:widowControl/>
              <w:adjustRightInd w:val="0"/>
              <w:snapToGrid w:val="0"/>
              <w:jc w:val="center"/>
              <w:rPr>
                <w:rFonts w:ascii="宋体" w:hAnsi="宋体" w:cs="宋体"/>
                <w:b/>
                <w:bCs/>
                <w:kern w:val="0"/>
                <w:szCs w:val="21"/>
              </w:rPr>
            </w:pPr>
            <w:r>
              <w:rPr>
                <w:rFonts w:hint="eastAsia" w:ascii="宋体" w:hAnsi="宋体" w:cs="宋体"/>
                <w:b/>
                <w:bCs/>
                <w:kern w:val="0"/>
                <w:szCs w:val="21"/>
              </w:rPr>
              <w:t>牵头部门</w:t>
            </w:r>
          </w:p>
        </w:tc>
        <w:tc>
          <w:tcPr>
            <w:tcW w:w="1355" w:type="dxa"/>
            <w:vAlign w:val="center"/>
          </w:tcPr>
          <w:p>
            <w:pPr>
              <w:widowControl/>
              <w:adjustRightInd w:val="0"/>
              <w:snapToGrid w:val="0"/>
              <w:jc w:val="center"/>
              <w:rPr>
                <w:rFonts w:ascii="宋体" w:hAnsi="宋体" w:cs="宋体"/>
                <w:b/>
                <w:bCs/>
                <w:kern w:val="0"/>
                <w:szCs w:val="21"/>
              </w:rPr>
            </w:pPr>
            <w:r>
              <w:rPr>
                <w:rFonts w:hint="eastAsia" w:ascii="宋体" w:hAnsi="宋体" w:cs="宋体"/>
                <w:b/>
                <w:bCs/>
                <w:kern w:val="0"/>
                <w:szCs w:val="21"/>
              </w:rPr>
              <w:t>责任</w:t>
            </w:r>
          </w:p>
          <w:p>
            <w:pPr>
              <w:widowControl/>
              <w:adjustRightInd w:val="0"/>
              <w:snapToGrid w:val="0"/>
              <w:jc w:val="center"/>
              <w:rPr>
                <w:rFonts w:ascii="宋体" w:hAnsi="宋体" w:cs="宋体"/>
                <w:b/>
                <w:bCs/>
                <w:kern w:val="0"/>
                <w:szCs w:val="21"/>
              </w:rPr>
            </w:pPr>
            <w:r>
              <w:rPr>
                <w:rFonts w:hint="eastAsia" w:ascii="宋体" w:hAnsi="宋体" w:cs="宋体"/>
                <w:b/>
                <w:bCs/>
                <w:kern w:val="0"/>
                <w:szCs w:val="21"/>
              </w:rPr>
              <w:t>部门</w:t>
            </w:r>
          </w:p>
        </w:tc>
        <w:tc>
          <w:tcPr>
            <w:tcW w:w="992" w:type="dxa"/>
            <w:vAlign w:val="center"/>
          </w:tcPr>
          <w:p>
            <w:pPr>
              <w:widowControl/>
              <w:adjustRightInd w:val="0"/>
              <w:snapToGrid w:val="0"/>
              <w:jc w:val="center"/>
              <w:rPr>
                <w:rFonts w:hint="eastAsia" w:ascii="宋体" w:hAnsi="宋体" w:cs="宋体"/>
                <w:b/>
                <w:bCs/>
                <w:kern w:val="0"/>
                <w:szCs w:val="21"/>
              </w:rPr>
            </w:pPr>
            <w:r>
              <w:rPr>
                <w:rFonts w:hint="eastAsia" w:ascii="宋体" w:hAnsi="宋体" w:cs="宋体"/>
                <w:b/>
                <w:bCs/>
                <w:kern w:val="0"/>
                <w:szCs w:val="21"/>
              </w:rPr>
              <w:t>配合</w:t>
            </w:r>
          </w:p>
          <w:p>
            <w:pPr>
              <w:widowControl/>
              <w:adjustRightInd w:val="0"/>
              <w:snapToGrid w:val="0"/>
              <w:jc w:val="center"/>
              <w:rPr>
                <w:rFonts w:ascii="宋体" w:hAnsi="宋体" w:cs="宋体"/>
                <w:b/>
                <w:bCs/>
                <w:kern w:val="0"/>
                <w:szCs w:val="21"/>
              </w:rPr>
            </w:pPr>
            <w:r>
              <w:rPr>
                <w:rFonts w:hint="eastAsia" w:ascii="宋体" w:hAnsi="宋体" w:cs="宋体"/>
                <w:b/>
                <w:bCs/>
                <w:kern w:val="0"/>
                <w:szCs w:val="21"/>
              </w:rPr>
              <w:t>单位</w:t>
            </w:r>
          </w:p>
        </w:tc>
        <w:tc>
          <w:tcPr>
            <w:tcW w:w="954" w:type="dxa"/>
            <w:vAlign w:val="center"/>
          </w:tcPr>
          <w:p>
            <w:pPr>
              <w:widowControl/>
              <w:adjustRightInd w:val="0"/>
              <w:snapToGrid w:val="0"/>
              <w:jc w:val="center"/>
              <w:rPr>
                <w:rFonts w:hint="eastAsia" w:ascii="宋体" w:hAnsi="宋体" w:cs="宋体"/>
                <w:b/>
                <w:bCs/>
                <w:kern w:val="0"/>
                <w:szCs w:val="21"/>
              </w:rPr>
            </w:pPr>
            <w:r>
              <w:rPr>
                <w:rFonts w:hint="eastAsia" w:ascii="宋体" w:hAnsi="宋体" w:cs="宋体"/>
                <w:b/>
                <w:bCs/>
                <w:kern w:val="0"/>
                <w:szCs w:val="21"/>
              </w:rPr>
              <w:t>完成</w:t>
            </w:r>
          </w:p>
          <w:p>
            <w:pPr>
              <w:widowControl/>
              <w:adjustRightInd w:val="0"/>
              <w:snapToGrid w:val="0"/>
              <w:jc w:val="center"/>
              <w:rPr>
                <w:rFonts w:ascii="宋体" w:hAnsi="宋体" w:cs="宋体"/>
                <w:b/>
                <w:bCs/>
                <w:kern w:val="0"/>
                <w:szCs w:val="21"/>
              </w:rPr>
            </w:pPr>
            <w:r>
              <w:rPr>
                <w:rFonts w:hint="eastAsia" w:ascii="宋体" w:hAnsi="宋体" w:cs="宋体"/>
                <w:b/>
                <w:bCs/>
                <w:kern w:val="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restart"/>
            <w:vAlign w:val="center"/>
          </w:tcPr>
          <w:p>
            <w:pPr>
              <w:snapToGrid w:val="0"/>
              <w:jc w:val="center"/>
              <w:rPr>
                <w:rFonts w:ascii="宋体" w:hAnsi="宋体" w:cs="宋体"/>
                <w:szCs w:val="21"/>
              </w:rPr>
            </w:pPr>
            <w:r>
              <w:rPr>
                <w:rFonts w:hint="eastAsia" w:ascii="宋体" w:hAnsi="宋体" w:cs="宋体"/>
                <w:szCs w:val="21"/>
              </w:rPr>
              <w:t>一、政策完善</w:t>
            </w:r>
          </w:p>
          <w:p>
            <w:pPr>
              <w:snapToGrid w:val="0"/>
              <w:jc w:val="center"/>
              <w:rPr>
                <w:rFonts w:ascii="宋体" w:hAnsi="宋体" w:cs="宋体"/>
                <w:szCs w:val="21"/>
              </w:rPr>
            </w:pPr>
            <w:r>
              <w:rPr>
                <w:rFonts w:hint="eastAsia" w:ascii="宋体" w:hAnsi="宋体" w:cs="宋体"/>
                <w:szCs w:val="21"/>
              </w:rPr>
              <w:t>（45分）</w:t>
            </w:r>
          </w:p>
        </w:tc>
        <w:tc>
          <w:tcPr>
            <w:tcW w:w="1295" w:type="dxa"/>
            <w:vMerge w:val="restart"/>
            <w:vAlign w:val="center"/>
          </w:tcPr>
          <w:p>
            <w:pPr>
              <w:snapToGrid w:val="0"/>
              <w:jc w:val="left"/>
              <w:rPr>
                <w:rFonts w:ascii="宋体" w:hAnsi="宋体" w:cs="宋体"/>
                <w:szCs w:val="21"/>
              </w:rPr>
            </w:pPr>
            <w:r>
              <w:rPr>
                <w:rFonts w:hint="eastAsia" w:ascii="宋体" w:hAnsi="宋体" w:cs="宋体"/>
                <w:szCs w:val="21"/>
              </w:rPr>
              <w:t>（一）发挥政府主导作用，建立多部门协作联动机制。</w:t>
            </w:r>
          </w:p>
          <w:p>
            <w:pPr>
              <w:snapToGrid w:val="0"/>
              <w:jc w:val="left"/>
              <w:rPr>
                <w:rFonts w:ascii="宋体" w:hAnsi="宋体" w:cs="宋体"/>
                <w:szCs w:val="21"/>
              </w:rPr>
            </w:pPr>
            <w:r>
              <w:rPr>
                <w:rFonts w:hint="eastAsia" w:ascii="宋体" w:hAnsi="宋体" w:cs="宋体"/>
                <w:szCs w:val="21"/>
              </w:rPr>
              <w:t>（25分）</w:t>
            </w:r>
          </w:p>
        </w:tc>
        <w:tc>
          <w:tcPr>
            <w:tcW w:w="2387" w:type="dxa"/>
            <w:vAlign w:val="center"/>
          </w:tcPr>
          <w:p>
            <w:pPr>
              <w:widowControl/>
              <w:jc w:val="both"/>
              <w:rPr>
                <w:rFonts w:ascii="宋体" w:hAnsi="宋体" w:cs="宋体"/>
                <w:kern w:val="0"/>
                <w:szCs w:val="21"/>
              </w:rPr>
            </w:pPr>
            <w:r>
              <w:rPr>
                <w:rFonts w:hint="eastAsia" w:ascii="宋体" w:hAnsi="宋体" w:cs="宋体"/>
                <w:kern w:val="0"/>
                <w:szCs w:val="21"/>
              </w:rPr>
              <w:t>1.辖区政府成立示范区建设领导小组，明确并落实部门职责，建立完善的信息反馈沟通制度。（10分）</w:t>
            </w:r>
          </w:p>
        </w:tc>
        <w:tc>
          <w:tcPr>
            <w:tcW w:w="4991" w:type="dxa"/>
            <w:vAlign w:val="center"/>
          </w:tcPr>
          <w:p>
            <w:pPr>
              <w:rPr>
                <w:rFonts w:ascii="宋体" w:hAnsi="宋体" w:cs="宋体"/>
                <w:szCs w:val="21"/>
              </w:rPr>
            </w:pPr>
            <w:r>
              <w:rPr>
                <w:rFonts w:hint="eastAsia" w:ascii="宋体" w:hAnsi="宋体" w:cs="宋体"/>
                <w:szCs w:val="21"/>
              </w:rPr>
              <w:t>（1）成立辖区示范区建设领导小组，政府主要领导任组长，明确各部门职责，4分；其余0分。</w:t>
            </w:r>
          </w:p>
          <w:p>
            <w:pPr>
              <w:rPr>
                <w:rFonts w:ascii="宋体" w:hAnsi="宋体" w:cs="宋体"/>
                <w:szCs w:val="21"/>
              </w:rPr>
            </w:pPr>
            <w:r>
              <w:rPr>
                <w:rFonts w:hint="eastAsia" w:ascii="宋体" w:hAnsi="宋体" w:cs="宋体"/>
                <w:szCs w:val="21"/>
              </w:rPr>
              <w:t>（2）设立示范区建设工作办公室，2分；其余0分。</w:t>
            </w:r>
          </w:p>
          <w:p>
            <w:pPr>
              <w:rPr>
                <w:rFonts w:ascii="宋体" w:hAnsi="宋体" w:cs="宋体"/>
                <w:szCs w:val="21"/>
              </w:rPr>
            </w:pPr>
            <w:r>
              <w:rPr>
                <w:rFonts w:hint="eastAsia" w:ascii="宋体" w:hAnsi="宋体" w:cs="宋体"/>
                <w:szCs w:val="21"/>
              </w:rPr>
              <w:t>（3）每年召开1次及以上领导小组工作会议，2分；其余0分。</w:t>
            </w:r>
          </w:p>
          <w:p>
            <w:pPr>
              <w:rPr>
                <w:rFonts w:ascii="宋体" w:hAnsi="宋体" w:cs="宋体"/>
                <w:szCs w:val="21"/>
              </w:rPr>
            </w:pPr>
            <w:r>
              <w:rPr>
                <w:rFonts w:hint="eastAsia" w:ascii="宋体" w:hAnsi="宋体" w:cs="宋体"/>
                <w:szCs w:val="21"/>
              </w:rPr>
              <w:t>（4）根据实际工作需要及时召开联络员会议，2分；其余0分。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查阅资料、现场询问。</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政府办</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jc w:val="left"/>
              <w:rPr>
                <w:rFonts w:ascii="宋体" w:hAnsi="宋体" w:cs="宋体"/>
                <w:szCs w:val="21"/>
              </w:rPr>
            </w:pPr>
          </w:p>
        </w:tc>
        <w:tc>
          <w:tcPr>
            <w:tcW w:w="2387" w:type="dxa"/>
            <w:vAlign w:val="center"/>
          </w:tcPr>
          <w:p>
            <w:pPr>
              <w:widowControl/>
              <w:jc w:val="both"/>
              <w:rPr>
                <w:rFonts w:ascii="宋体" w:hAnsi="宋体" w:cs="宋体"/>
                <w:kern w:val="0"/>
                <w:szCs w:val="21"/>
              </w:rPr>
            </w:pPr>
            <w:r>
              <w:rPr>
                <w:rFonts w:hint="eastAsia" w:ascii="宋体" w:hAnsi="宋体" w:cs="宋体"/>
                <w:kern w:val="0"/>
                <w:szCs w:val="21"/>
              </w:rPr>
              <w:t>2.辖区政府将慢性病防控工作纳入当地政府经济社会发展规划。（5分）</w:t>
            </w:r>
          </w:p>
        </w:tc>
        <w:tc>
          <w:tcPr>
            <w:tcW w:w="4991" w:type="dxa"/>
            <w:vAlign w:val="center"/>
          </w:tcPr>
          <w:p>
            <w:pPr>
              <w:rPr>
                <w:rFonts w:ascii="宋体" w:hAnsi="宋体" w:cs="宋体"/>
                <w:szCs w:val="21"/>
              </w:rPr>
            </w:pPr>
            <w:r>
              <w:rPr>
                <w:rFonts w:hint="eastAsia" w:ascii="宋体" w:hAnsi="宋体" w:cs="宋体"/>
                <w:szCs w:val="21"/>
              </w:rPr>
              <w:t>（1）慢性病防控工作纳入政府社会经济发展规划，3分；其余0分。</w:t>
            </w:r>
          </w:p>
          <w:p>
            <w:pPr>
              <w:rPr>
                <w:rFonts w:ascii="宋体" w:hAnsi="宋体" w:cs="宋体"/>
                <w:szCs w:val="21"/>
              </w:rPr>
            </w:pPr>
            <w:r>
              <w:rPr>
                <w:rFonts w:hint="eastAsia" w:ascii="宋体" w:hAnsi="宋体" w:cs="宋体"/>
                <w:szCs w:val="21"/>
              </w:rPr>
              <w:t>（2）政府制定慢性病综合防控示范区复评审实施方案，2分；其余0分。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发改委</w:t>
            </w:r>
          </w:p>
          <w:p>
            <w:pPr>
              <w:widowControl/>
              <w:jc w:val="center"/>
              <w:rPr>
                <w:rFonts w:ascii="宋体" w:hAnsi="宋体" w:cs="宋体"/>
                <w:kern w:val="0"/>
                <w:szCs w:val="21"/>
              </w:rPr>
            </w:pPr>
            <w:r>
              <w:rPr>
                <w:rFonts w:hint="eastAsia" w:ascii="宋体" w:hAnsi="宋体" w:cs="宋体"/>
                <w:kern w:val="0"/>
                <w:szCs w:val="21"/>
              </w:rPr>
              <w:t>政府办</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jc w:val="left"/>
              <w:rPr>
                <w:rFonts w:ascii="宋体" w:hAnsi="宋体" w:cs="宋体"/>
                <w:szCs w:val="21"/>
              </w:rPr>
            </w:pPr>
          </w:p>
        </w:tc>
        <w:tc>
          <w:tcPr>
            <w:tcW w:w="2387" w:type="dxa"/>
            <w:vAlign w:val="center"/>
          </w:tcPr>
          <w:p>
            <w:pPr>
              <w:widowControl/>
              <w:jc w:val="both"/>
              <w:rPr>
                <w:rFonts w:ascii="宋体" w:hAnsi="宋体" w:cs="宋体"/>
                <w:kern w:val="0"/>
                <w:szCs w:val="21"/>
              </w:rPr>
            </w:pPr>
            <w:r>
              <w:rPr>
                <w:rFonts w:hint="eastAsia" w:ascii="宋体" w:hAnsi="宋体" w:cs="宋体"/>
                <w:kern w:val="0"/>
                <w:szCs w:val="21"/>
              </w:rPr>
              <w:t>3.慢性病防控融入各部门政策规章制度，有烟草控制、降低有害饮酒、减盐、控油、控制体重、全民健身等慢性病危险因素干预、疾病管理相关的政策规章制度。（5分）</w:t>
            </w:r>
          </w:p>
        </w:tc>
        <w:tc>
          <w:tcPr>
            <w:tcW w:w="4991" w:type="dxa"/>
            <w:vAlign w:val="center"/>
          </w:tcPr>
          <w:p>
            <w:pPr>
              <w:rPr>
                <w:rFonts w:ascii="宋体" w:hAnsi="宋体" w:cs="宋体"/>
                <w:szCs w:val="21"/>
              </w:rPr>
            </w:pPr>
            <w:r>
              <w:rPr>
                <w:rFonts w:hint="eastAsia" w:ascii="宋体" w:hAnsi="宋体" w:cs="宋体"/>
                <w:szCs w:val="21"/>
              </w:rPr>
              <w:t>抽查5个部门制定落实相关健康政策情况。</w:t>
            </w:r>
          </w:p>
          <w:p>
            <w:pPr>
              <w:rPr>
                <w:rFonts w:ascii="宋体" w:hAnsi="宋体" w:cs="宋体"/>
                <w:szCs w:val="21"/>
              </w:rPr>
            </w:pPr>
            <w:r>
              <w:rPr>
                <w:rFonts w:hint="eastAsia" w:ascii="宋体" w:hAnsi="宋体" w:cs="宋体"/>
                <w:szCs w:val="21"/>
              </w:rPr>
              <w:t>（1）凡制定并落实，每个部门得1分，满分5分。</w:t>
            </w:r>
          </w:p>
          <w:p>
            <w:pPr>
              <w:rPr>
                <w:rFonts w:ascii="宋体" w:hAnsi="宋体" w:cs="宋体"/>
                <w:szCs w:val="21"/>
              </w:rPr>
            </w:pPr>
            <w:r>
              <w:rPr>
                <w:rFonts w:hint="eastAsia" w:ascii="宋体" w:hAnsi="宋体" w:cs="宋体"/>
                <w:szCs w:val="21"/>
              </w:rPr>
              <w:t>（2）制定但没有落实，每个部门得0.5分。</w:t>
            </w:r>
          </w:p>
        </w:tc>
        <w:tc>
          <w:tcPr>
            <w:tcW w:w="1596" w:type="dxa"/>
            <w:vAlign w:val="center"/>
          </w:tcPr>
          <w:p>
            <w:pPr>
              <w:rPr>
                <w:rFonts w:ascii="宋体" w:hAnsi="宋体" w:cs="宋体"/>
                <w:kern w:val="0"/>
                <w:szCs w:val="21"/>
              </w:rPr>
            </w:pPr>
            <w:r>
              <w:rPr>
                <w:rFonts w:hint="eastAsia" w:ascii="宋体" w:hAnsi="宋体" w:cs="宋体"/>
                <w:kern w:val="0"/>
                <w:szCs w:val="21"/>
              </w:rPr>
              <w:t>随机抽取5个部门年度工作计划政策相关内容的体现和落实情况；抽查2个部门员工，简单问询对本部门该政策的知晓与落实情况。</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jc w:val="center"/>
              <w:rPr>
                <w:rFonts w:ascii="宋体" w:hAnsi="宋体" w:cs="宋体"/>
                <w:kern w:val="0"/>
                <w:szCs w:val="21"/>
              </w:rPr>
            </w:pPr>
            <w:r>
              <w:rPr>
                <w:rFonts w:hint="eastAsia" w:ascii="宋体" w:hAnsi="宋体" w:cs="宋体"/>
                <w:kern w:val="0"/>
                <w:szCs w:val="21"/>
              </w:rPr>
              <w:t>政府办、民政局、人社局、卫健委、教育局、市场监管局等</w:t>
            </w:r>
          </w:p>
        </w:tc>
        <w:tc>
          <w:tcPr>
            <w:tcW w:w="992" w:type="dxa"/>
            <w:vAlign w:val="center"/>
          </w:tcPr>
          <w:p>
            <w:pPr>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4.示范区建设领导小组建立工作督导制度，开展示范区建设的多部门联合督导。（5分）</w:t>
            </w:r>
          </w:p>
        </w:tc>
        <w:tc>
          <w:tcPr>
            <w:tcW w:w="4991" w:type="dxa"/>
            <w:vAlign w:val="center"/>
          </w:tcPr>
          <w:p>
            <w:pPr>
              <w:rPr>
                <w:rFonts w:ascii="宋体" w:hAnsi="宋体" w:cs="宋体"/>
                <w:szCs w:val="21"/>
              </w:rPr>
            </w:pPr>
            <w:r>
              <w:rPr>
                <w:rFonts w:hint="eastAsia" w:ascii="宋体" w:hAnsi="宋体" w:cs="宋体"/>
                <w:szCs w:val="21"/>
              </w:rPr>
              <w:t>（1）辖区政府主导每年组织2次由5个及以上部门参与的联合督导，每次得1分；低于5个部门参与得0.5分。</w:t>
            </w:r>
          </w:p>
          <w:p>
            <w:pPr>
              <w:rPr>
                <w:rFonts w:ascii="宋体" w:hAnsi="宋体" w:cs="宋体"/>
                <w:szCs w:val="21"/>
              </w:rPr>
            </w:pPr>
            <w:r>
              <w:rPr>
                <w:rFonts w:hint="eastAsia" w:ascii="宋体" w:hAnsi="宋体" w:cs="宋体"/>
                <w:szCs w:val="21"/>
              </w:rPr>
              <w:t>对于在政府主导下采用第三方督导的，每年组织2次，每次得1分。</w:t>
            </w:r>
          </w:p>
          <w:p>
            <w:pPr>
              <w:rPr>
                <w:rFonts w:ascii="宋体" w:hAnsi="宋体" w:cs="宋体"/>
                <w:szCs w:val="21"/>
              </w:rPr>
            </w:pPr>
            <w:r>
              <w:rPr>
                <w:rFonts w:hint="eastAsia" w:ascii="宋体" w:hAnsi="宋体" w:cs="宋体"/>
                <w:szCs w:val="21"/>
              </w:rPr>
              <w:t>（2）督导内容主要包括部门合作建立的信息沟通共享、激励问责、质量控制等3个基本运行机制情况，每个机制分值为1分。</w:t>
            </w:r>
          </w:p>
        </w:tc>
        <w:tc>
          <w:tcPr>
            <w:tcW w:w="1596" w:type="dxa"/>
            <w:vAlign w:val="center"/>
          </w:tcPr>
          <w:p>
            <w:pPr>
              <w:rPr>
                <w:rFonts w:ascii="宋体" w:hAnsi="宋体" w:cs="宋体"/>
                <w:kern w:val="0"/>
                <w:szCs w:val="21"/>
              </w:rPr>
            </w:pPr>
            <w:r>
              <w:rPr>
                <w:rFonts w:hint="eastAsia" w:ascii="宋体" w:hAnsi="宋体" w:cs="宋体"/>
                <w:kern w:val="0"/>
                <w:szCs w:val="21"/>
              </w:rPr>
              <w:t>查阅资料。</w:t>
            </w:r>
          </w:p>
          <w:p>
            <w:pPr>
              <w:rPr>
                <w:rFonts w:ascii="宋体" w:hAnsi="宋体" w:cs="宋体"/>
                <w:kern w:val="0"/>
                <w:szCs w:val="21"/>
              </w:rPr>
            </w:pPr>
            <w:r>
              <w:rPr>
                <w:rFonts w:hint="eastAsia" w:ascii="宋体" w:hAnsi="宋体" w:cs="宋体"/>
                <w:kern w:val="0"/>
                <w:szCs w:val="21"/>
              </w:rPr>
              <w:t>随机抽取1-2个参与合作部门的职能科室负责人，询问3项基本机制的落实情况。</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jc w:val="center"/>
              <w:rPr>
                <w:rFonts w:ascii="宋体" w:hAnsi="宋体" w:cs="宋体"/>
                <w:kern w:val="0"/>
                <w:szCs w:val="21"/>
              </w:rPr>
            </w:pPr>
            <w:r>
              <w:rPr>
                <w:rFonts w:hint="eastAsia" w:ascii="宋体" w:hAnsi="宋体" w:cs="宋体"/>
                <w:kern w:val="0"/>
                <w:szCs w:val="21"/>
              </w:rPr>
              <w:t>政府办</w:t>
            </w:r>
          </w:p>
        </w:tc>
        <w:tc>
          <w:tcPr>
            <w:tcW w:w="992" w:type="dxa"/>
            <w:vAlign w:val="center"/>
          </w:tcPr>
          <w:p>
            <w:pPr>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（二）保障慢性病防控经费。</w:t>
            </w:r>
          </w:p>
          <w:p>
            <w:pPr>
              <w:adjustRightInd w:val="0"/>
              <w:snapToGrid w:val="0"/>
              <w:jc w:val="left"/>
              <w:rPr>
                <w:rFonts w:ascii="宋体" w:hAnsi="宋体" w:cs="宋体"/>
                <w:szCs w:val="21"/>
              </w:rPr>
            </w:pPr>
            <w:r>
              <w:rPr>
                <w:rFonts w:hint="eastAsia" w:ascii="宋体" w:hAnsi="宋体" w:cs="宋体"/>
                <w:szCs w:val="21"/>
              </w:rPr>
              <w:t>（10分）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1.慢性病防控工作经费纳入政府年度预算、决算管理。（3分）</w:t>
            </w:r>
          </w:p>
        </w:tc>
        <w:tc>
          <w:tcPr>
            <w:tcW w:w="4991" w:type="dxa"/>
            <w:vAlign w:val="center"/>
          </w:tcPr>
          <w:p>
            <w:pPr>
              <w:rPr>
                <w:rFonts w:ascii="宋体" w:hAnsi="宋体" w:cs="宋体"/>
                <w:szCs w:val="21"/>
              </w:rPr>
            </w:pPr>
            <w:r>
              <w:rPr>
                <w:rFonts w:hint="eastAsia" w:ascii="宋体" w:hAnsi="宋体" w:cs="宋体"/>
                <w:szCs w:val="21"/>
              </w:rPr>
              <w:t>（1）慢性病防控工作经费纳入政府预算、决算管理，各1分。</w:t>
            </w:r>
          </w:p>
          <w:p>
            <w:pPr>
              <w:rPr>
                <w:rFonts w:ascii="宋体" w:hAnsi="宋体" w:cs="宋体"/>
                <w:szCs w:val="21"/>
              </w:rPr>
            </w:pPr>
            <w:r>
              <w:rPr>
                <w:rFonts w:hint="eastAsia" w:ascii="宋体" w:hAnsi="宋体" w:cs="宋体"/>
                <w:szCs w:val="21"/>
              </w:rPr>
              <w:t>（2）经费预算执行率100%，1分；其余0分。</w:t>
            </w:r>
          </w:p>
        </w:tc>
        <w:tc>
          <w:tcPr>
            <w:tcW w:w="1596" w:type="dxa"/>
            <w:vAlign w:val="center"/>
          </w:tcPr>
          <w:p>
            <w:pPr>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jc w:val="center"/>
              <w:rPr>
                <w:rFonts w:ascii="宋体" w:hAnsi="宋体" w:cs="宋体"/>
                <w:kern w:val="0"/>
                <w:szCs w:val="21"/>
              </w:rPr>
            </w:pPr>
            <w:r>
              <w:rPr>
                <w:rFonts w:hint="eastAsia" w:ascii="宋体" w:hAnsi="宋体" w:cs="宋体"/>
                <w:kern w:val="0"/>
                <w:szCs w:val="21"/>
              </w:rPr>
              <w:t>财政局</w:t>
            </w:r>
          </w:p>
        </w:tc>
        <w:tc>
          <w:tcPr>
            <w:tcW w:w="992" w:type="dxa"/>
            <w:vAlign w:val="center"/>
          </w:tcPr>
          <w:p>
            <w:pPr>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jc w:val="center"/>
              <w:rPr>
                <w:rFonts w:ascii="宋体" w:hAnsi="宋体" w:cs="宋体"/>
                <w:kern w:val="0"/>
                <w:szCs w:val="21"/>
              </w:rPr>
            </w:pPr>
            <w:r>
              <w:rPr>
                <w:rFonts w:hint="eastAsia" w:ascii="宋体" w:hAnsi="宋体" w:cs="宋体"/>
                <w:kern w:val="0"/>
                <w:szCs w:val="21"/>
              </w:rPr>
              <w:t>2020.5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2.辖区政府按规划、计划提供示范区建设专项工作经费，专款专用。（5分）</w:t>
            </w:r>
          </w:p>
        </w:tc>
        <w:tc>
          <w:tcPr>
            <w:tcW w:w="4991" w:type="dxa"/>
            <w:vAlign w:val="center"/>
          </w:tcPr>
          <w:p>
            <w:pPr>
              <w:rPr>
                <w:rFonts w:ascii="宋体" w:hAnsi="宋体" w:cs="宋体"/>
                <w:szCs w:val="21"/>
              </w:rPr>
            </w:pPr>
            <w:r>
              <w:rPr>
                <w:rFonts w:hint="eastAsia" w:ascii="宋体" w:hAnsi="宋体" w:cs="宋体"/>
                <w:szCs w:val="21"/>
              </w:rPr>
              <w:t>（1）辖区提供示范区建设专项工作经费，3分；其余0分。</w:t>
            </w:r>
          </w:p>
          <w:p>
            <w:pPr>
              <w:rPr>
                <w:rFonts w:ascii="宋体" w:hAnsi="宋体" w:cs="宋体"/>
                <w:szCs w:val="21"/>
              </w:rPr>
            </w:pPr>
            <w:r>
              <w:rPr>
                <w:rFonts w:hint="eastAsia" w:ascii="宋体" w:hAnsi="宋体" w:cs="宋体"/>
                <w:szCs w:val="21"/>
              </w:rPr>
              <w:t>（2）慢性病防控经费专项管理，确保专款专用，2分；其余0分。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财政局</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3.保障疾控机构的慢性病防控工作经费。（2分）</w:t>
            </w:r>
          </w:p>
        </w:tc>
        <w:tc>
          <w:tcPr>
            <w:tcW w:w="4991" w:type="dxa"/>
            <w:vAlign w:val="center"/>
          </w:tcPr>
          <w:p>
            <w:pPr>
              <w:rPr>
                <w:rFonts w:ascii="宋体" w:hAnsi="宋体" w:cs="宋体"/>
                <w:szCs w:val="21"/>
              </w:rPr>
            </w:pPr>
            <w:r>
              <w:rPr>
                <w:rFonts w:hint="eastAsia" w:ascii="宋体" w:hAnsi="宋体" w:cs="宋体"/>
                <w:szCs w:val="21"/>
              </w:rPr>
              <w:t>慢性病防控工作经费占疾控机构业务总经费的比例＞10%，2分；10%，1分；10%以下0分。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财政局</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（三）建立有效的绩效管理及评价机制。</w:t>
            </w:r>
          </w:p>
          <w:p>
            <w:pPr>
              <w:adjustRightInd w:val="0"/>
              <w:snapToGrid w:val="0"/>
              <w:jc w:val="left"/>
              <w:rPr>
                <w:rFonts w:ascii="宋体" w:hAnsi="宋体" w:cs="宋体"/>
                <w:szCs w:val="21"/>
              </w:rPr>
            </w:pPr>
            <w:r>
              <w:rPr>
                <w:rFonts w:hint="eastAsia" w:ascii="宋体" w:hAnsi="宋体" w:cs="宋体"/>
                <w:szCs w:val="21"/>
              </w:rPr>
              <w:t>（10分）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1.辖区政府将示范区建设实施方案相关工作纳入各相关部门年度目标管理。（2分）</w:t>
            </w:r>
          </w:p>
        </w:tc>
        <w:tc>
          <w:tcPr>
            <w:tcW w:w="4991" w:type="dxa"/>
            <w:vAlign w:val="center"/>
          </w:tcPr>
          <w:p>
            <w:pPr>
              <w:rPr>
                <w:rFonts w:ascii="宋体" w:hAnsi="宋体" w:cs="宋体"/>
                <w:szCs w:val="21"/>
              </w:rPr>
            </w:pPr>
            <w:r>
              <w:rPr>
                <w:rFonts w:hint="eastAsia" w:ascii="宋体" w:hAnsi="宋体" w:cs="宋体"/>
                <w:szCs w:val="21"/>
              </w:rPr>
              <w:t>（1）辖区政府将示范区建设工作纳入各相关部门年度目标管理，纳入绩效考核目标工作，2分；其余0分。</w:t>
            </w:r>
          </w:p>
          <w:p>
            <w:pPr>
              <w:rPr>
                <w:rFonts w:ascii="宋体" w:hAnsi="宋体" w:cs="宋体"/>
                <w:szCs w:val="21"/>
              </w:rPr>
            </w:pPr>
            <w:r>
              <w:rPr>
                <w:rFonts w:hint="eastAsia" w:ascii="宋体" w:hAnsi="宋体" w:cs="宋体"/>
                <w:szCs w:val="21"/>
              </w:rPr>
              <w:t>（2）抽查5个部门执行情况，发现2个及以上部门没有纳入目标管理和绩效考核者不得分。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查阅相关部门的年度计划和年终评价的相关材料。</w:t>
            </w:r>
          </w:p>
        </w:tc>
        <w:tc>
          <w:tcPr>
            <w:tcW w:w="1124" w:type="dxa"/>
            <w:vAlign w:val="center"/>
          </w:tcPr>
          <w:p>
            <w:pPr>
              <w:widowControl/>
              <w:jc w:val="center"/>
              <w:rPr>
                <w:rFonts w:hint="eastAsia" w:ascii="宋体" w:hAnsi="宋体" w:cs="宋体"/>
                <w:kern w:val="0"/>
                <w:szCs w:val="21"/>
              </w:rPr>
            </w:pPr>
            <w:r>
              <w:rPr>
                <w:rFonts w:hint="eastAsia" w:ascii="宋体" w:hAnsi="宋体" w:cs="宋体"/>
                <w:kern w:val="0"/>
                <w:szCs w:val="21"/>
              </w:rPr>
              <w:t>复评审办</w:t>
            </w:r>
          </w:p>
          <w:p>
            <w:pPr>
              <w:widowControl/>
              <w:jc w:val="center"/>
              <w:rPr>
                <w:rFonts w:ascii="宋体" w:hAnsi="宋体" w:cs="宋体"/>
                <w:kern w:val="0"/>
                <w:szCs w:val="21"/>
              </w:rPr>
            </w:pPr>
            <w:r>
              <w:rPr>
                <w:rFonts w:hint="eastAsia" w:ascii="宋体" w:hAnsi="宋体" w:cs="宋体"/>
                <w:kern w:val="0"/>
                <w:szCs w:val="21"/>
              </w:rPr>
              <w:t>政府办</w:t>
            </w:r>
          </w:p>
        </w:tc>
        <w:tc>
          <w:tcPr>
            <w:tcW w:w="1355" w:type="dxa"/>
            <w:vAlign w:val="center"/>
          </w:tcPr>
          <w:p>
            <w:pPr>
              <w:widowControl/>
              <w:jc w:val="center"/>
              <w:rPr>
                <w:rFonts w:ascii="宋体" w:hAnsi="宋体" w:cs="宋体"/>
                <w:strike/>
                <w:kern w:val="0"/>
                <w:szCs w:val="21"/>
              </w:rPr>
            </w:pPr>
            <w:r>
              <w:rPr>
                <w:rFonts w:hint="eastAsia" w:ascii="宋体" w:hAnsi="宋体" w:cs="宋体"/>
                <w:kern w:val="0"/>
                <w:szCs w:val="21"/>
              </w:rPr>
              <w:t>编办</w:t>
            </w:r>
          </w:p>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2.辖区政府将示范区建设实施方案相关工作纳入各部门绩效考核，落实问责制。（8分）</w:t>
            </w:r>
          </w:p>
        </w:tc>
        <w:tc>
          <w:tcPr>
            <w:tcW w:w="4991" w:type="dxa"/>
            <w:vAlign w:val="center"/>
          </w:tcPr>
          <w:p>
            <w:pPr>
              <w:rPr>
                <w:rFonts w:ascii="宋体" w:hAnsi="宋体" w:cs="宋体"/>
                <w:szCs w:val="21"/>
              </w:rPr>
            </w:pPr>
            <w:r>
              <w:rPr>
                <w:rFonts w:hint="eastAsia" w:ascii="宋体" w:hAnsi="宋体" w:cs="宋体"/>
                <w:szCs w:val="21"/>
              </w:rPr>
              <w:t>（1）抽取4个相关部门职能科室，询问相关职责知晓与执行情况。部门履职合格的覆盖率达100%，8分。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查阅资料，现场询问。</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复评审办政府办</w:t>
            </w:r>
          </w:p>
        </w:tc>
        <w:tc>
          <w:tcPr>
            <w:tcW w:w="1355" w:type="dxa"/>
            <w:vAlign w:val="center"/>
          </w:tcPr>
          <w:p>
            <w:pPr>
              <w:widowControl/>
              <w:jc w:val="center"/>
              <w:rPr>
                <w:rFonts w:ascii="宋体" w:hAnsi="宋体" w:cs="宋体"/>
                <w:strike/>
                <w:kern w:val="0"/>
                <w:szCs w:val="21"/>
              </w:rPr>
            </w:pPr>
            <w:r>
              <w:rPr>
                <w:rFonts w:hint="eastAsia" w:ascii="宋体" w:hAnsi="宋体" w:cs="宋体"/>
                <w:kern w:val="0"/>
                <w:szCs w:val="21"/>
              </w:rPr>
              <w:t>编办</w:t>
            </w:r>
          </w:p>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各成员部门</w:t>
            </w:r>
          </w:p>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restart"/>
            <w:vAlign w:val="center"/>
          </w:tcPr>
          <w:p>
            <w:pPr>
              <w:jc w:val="center"/>
              <w:rPr>
                <w:rFonts w:ascii="宋体" w:hAnsi="宋体" w:cs="宋体"/>
                <w:szCs w:val="21"/>
              </w:rPr>
            </w:pPr>
            <w:r>
              <w:rPr>
                <w:rFonts w:hint="eastAsia" w:ascii="宋体" w:hAnsi="宋体" w:cs="宋体"/>
                <w:szCs w:val="21"/>
              </w:rPr>
              <w:t>二、环境支持</w:t>
            </w:r>
          </w:p>
          <w:p>
            <w:pPr>
              <w:jc w:val="center"/>
              <w:rPr>
                <w:rFonts w:ascii="宋体" w:hAnsi="宋体" w:cs="宋体"/>
                <w:szCs w:val="21"/>
              </w:rPr>
            </w:pPr>
            <w:r>
              <w:rPr>
                <w:rFonts w:hint="eastAsia" w:ascii="宋体" w:hAnsi="宋体" w:cs="宋体"/>
                <w:szCs w:val="21"/>
              </w:rPr>
              <w:t>（50分）</w:t>
            </w: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（一）开展全民健康生活方式行动，构建全方位健康支持性环境。</w:t>
            </w:r>
          </w:p>
          <w:p>
            <w:pPr>
              <w:adjustRightInd w:val="0"/>
              <w:snapToGrid w:val="0"/>
              <w:jc w:val="left"/>
              <w:rPr>
                <w:rFonts w:ascii="宋体" w:hAnsi="宋体" w:cs="宋体"/>
                <w:szCs w:val="21"/>
              </w:rPr>
            </w:pPr>
            <w:r>
              <w:rPr>
                <w:rFonts w:hint="eastAsia" w:ascii="宋体" w:hAnsi="宋体" w:cs="宋体"/>
                <w:szCs w:val="21"/>
              </w:rPr>
              <w:t>（20分）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1.按照国家标准开展健康家庭、社区、单位、学校、食堂、餐厅/酒店建设，数量逐年增加。（8分）</w:t>
            </w:r>
          </w:p>
        </w:tc>
        <w:tc>
          <w:tcPr>
            <w:tcW w:w="4991" w:type="dxa"/>
            <w:vAlign w:val="center"/>
          </w:tcPr>
          <w:p>
            <w:pPr>
              <w:rPr>
                <w:rFonts w:ascii="宋体" w:hAnsi="宋体" w:cs="宋体"/>
                <w:szCs w:val="21"/>
              </w:rPr>
            </w:pPr>
            <w:r>
              <w:rPr>
                <w:rFonts w:hint="eastAsia" w:ascii="宋体" w:hAnsi="宋体" w:cs="宋体"/>
                <w:szCs w:val="21"/>
              </w:rPr>
              <w:t>（1）开展健康家庭评选活动的健康社区占辖区社区总数≥30%，2分；20-30%，1分；20%以下0分。每个社区至少评选10个及以上健康家庭，不达标者分数减半。</w:t>
            </w:r>
          </w:p>
          <w:p>
            <w:pPr>
              <w:rPr>
                <w:rFonts w:ascii="宋体" w:hAnsi="宋体" w:cs="宋体"/>
                <w:szCs w:val="21"/>
              </w:rPr>
            </w:pPr>
            <w:r>
              <w:rPr>
                <w:rFonts w:hint="eastAsia" w:ascii="宋体" w:hAnsi="宋体" w:cs="宋体"/>
                <w:szCs w:val="21"/>
              </w:rPr>
              <w:t>（2）健康单位、学校、食堂、餐厅/酒店每类不少于5个，每类1.5分；每少1个扣0.5分。</w:t>
            </w:r>
          </w:p>
          <w:p>
            <w:pPr>
              <w:rPr>
                <w:rFonts w:ascii="宋体" w:hAnsi="宋体" w:cs="宋体"/>
                <w:szCs w:val="21"/>
              </w:rPr>
            </w:pPr>
            <w:r>
              <w:rPr>
                <w:rFonts w:hint="eastAsia" w:ascii="宋体" w:hAnsi="宋体" w:cs="宋体"/>
                <w:szCs w:val="21"/>
              </w:rPr>
              <w:t>（3）现场评估发现每类中有1个不达标，该类不得分。</w:t>
            </w:r>
          </w:p>
          <w:p>
            <w:pPr>
              <w:ind w:left="210" w:hanging="210" w:hangingChars="100"/>
              <w:rPr>
                <w:rFonts w:ascii="宋体" w:hAnsi="宋体" w:cs="宋体"/>
                <w:szCs w:val="21"/>
              </w:rPr>
            </w:pPr>
            <w:r>
              <w:rPr>
                <w:rFonts w:hint="eastAsia" w:ascii="宋体" w:hAnsi="宋体" w:cs="宋体"/>
                <w:szCs w:val="21"/>
              </w:rPr>
              <w:t>（4）复审：健康社区覆盖率逐年增加5%或达到40%及以上，2分。健康单位、学校、食堂、餐厅/酒店每年增加2个或每类达到10个及以上，每类2分，每年增加未达标者该类不得分。</w:t>
            </w:r>
          </w:p>
        </w:tc>
        <w:tc>
          <w:tcPr>
            <w:tcW w:w="1596" w:type="dxa"/>
            <w:vAlign w:val="center"/>
          </w:tcPr>
          <w:p>
            <w:pPr>
              <w:widowControl/>
              <w:rPr>
                <w:rFonts w:ascii="宋体" w:hAnsi="宋体" w:cs="宋体"/>
                <w:kern w:val="0"/>
                <w:szCs w:val="21"/>
              </w:rPr>
            </w:pPr>
            <w:r>
              <w:rPr>
                <w:rFonts w:hint="eastAsia" w:ascii="宋体" w:hAnsi="宋体" w:cs="宋体"/>
                <w:kern w:val="0"/>
                <w:szCs w:val="21"/>
              </w:rPr>
              <w:t>查看健康支持性环境名单,现场随机抽取每类1个。</w:t>
            </w:r>
          </w:p>
        </w:tc>
        <w:tc>
          <w:tcPr>
            <w:tcW w:w="1124" w:type="dxa"/>
            <w:vAlign w:val="center"/>
          </w:tcPr>
          <w:p>
            <w:pPr>
              <w:widowControl/>
              <w:jc w:val="center"/>
              <w:rPr>
                <w:rFonts w:hint="eastAsia"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r>
              <w:rPr>
                <w:rFonts w:hint="eastAsia" w:ascii="宋体" w:hAnsi="宋体" w:cs="宋体"/>
                <w:kern w:val="0"/>
                <w:szCs w:val="21"/>
              </w:rPr>
              <w:t>爱卫办</w:t>
            </w:r>
            <w:bookmarkStart w:id="0" w:name="_GoBack"/>
            <w:bookmarkEnd w:id="0"/>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爱卫办</w:t>
            </w:r>
          </w:p>
          <w:p>
            <w:pPr>
              <w:widowControl/>
              <w:jc w:val="center"/>
              <w:rPr>
                <w:rFonts w:ascii="宋体" w:hAnsi="宋体" w:cs="宋体"/>
                <w:kern w:val="0"/>
                <w:szCs w:val="21"/>
              </w:rPr>
            </w:pPr>
            <w:r>
              <w:rPr>
                <w:rFonts w:hint="eastAsia" w:ascii="宋体" w:hAnsi="宋体" w:cs="宋体"/>
                <w:kern w:val="0"/>
                <w:szCs w:val="21"/>
              </w:rPr>
              <w:t>教育局</w:t>
            </w:r>
          </w:p>
          <w:p>
            <w:pPr>
              <w:widowControl/>
              <w:jc w:val="center"/>
              <w:rPr>
                <w:rFonts w:ascii="宋体" w:hAnsi="宋体" w:cs="宋体"/>
                <w:kern w:val="0"/>
                <w:szCs w:val="21"/>
              </w:rPr>
            </w:pPr>
            <w:r>
              <w:rPr>
                <w:rFonts w:hint="eastAsia" w:ascii="宋体" w:hAnsi="宋体" w:cs="宋体"/>
                <w:kern w:val="0"/>
                <w:szCs w:val="21"/>
              </w:rPr>
              <w:t>市场监管局</w:t>
            </w:r>
          </w:p>
          <w:p>
            <w:pPr>
              <w:widowControl/>
              <w:jc w:val="center"/>
              <w:rPr>
                <w:rFonts w:ascii="宋体" w:hAnsi="宋体" w:cs="宋体"/>
                <w:kern w:val="0"/>
                <w:szCs w:val="21"/>
              </w:rPr>
            </w:pPr>
            <w:r>
              <w:rPr>
                <w:rFonts w:hint="eastAsia" w:ascii="宋体" w:hAnsi="宋体" w:cs="宋体"/>
                <w:kern w:val="0"/>
                <w:szCs w:val="21"/>
              </w:rPr>
              <w:t>总工会</w:t>
            </w:r>
          </w:p>
          <w:p>
            <w:pPr>
              <w:widowControl/>
              <w:jc w:val="center"/>
              <w:rPr>
                <w:rFonts w:ascii="宋体" w:hAnsi="宋体" w:cs="宋体"/>
                <w:kern w:val="0"/>
                <w:szCs w:val="21"/>
              </w:rPr>
            </w:pPr>
            <w:r>
              <w:rPr>
                <w:rFonts w:hint="eastAsia" w:ascii="宋体" w:hAnsi="宋体" w:cs="宋体"/>
                <w:kern w:val="0"/>
                <w:szCs w:val="21"/>
              </w:rPr>
              <w:t>各街镇</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2.按照国家标准开展健康主题公园、步道、小屋、健康一条街等健康支持性环境建设，数量逐年增加。（4分）</w:t>
            </w:r>
          </w:p>
        </w:tc>
        <w:tc>
          <w:tcPr>
            <w:tcW w:w="4991" w:type="dxa"/>
            <w:vAlign w:val="center"/>
          </w:tcPr>
          <w:p>
            <w:pPr>
              <w:rPr>
                <w:rFonts w:ascii="宋体" w:hAnsi="宋体" w:cs="宋体"/>
                <w:szCs w:val="21"/>
              </w:rPr>
            </w:pPr>
            <w:r>
              <w:rPr>
                <w:rFonts w:hint="eastAsia" w:ascii="宋体" w:hAnsi="宋体" w:cs="宋体"/>
                <w:szCs w:val="21"/>
              </w:rPr>
              <w:t>（1）健康主题公园、步道、小屋、一条街等，每建设1类，1分，满分4分。</w:t>
            </w:r>
          </w:p>
          <w:p>
            <w:pPr>
              <w:rPr>
                <w:rFonts w:ascii="宋体" w:hAnsi="宋体" w:cs="宋体"/>
                <w:szCs w:val="21"/>
              </w:rPr>
            </w:pPr>
            <w:r>
              <w:rPr>
                <w:rFonts w:hint="eastAsia" w:ascii="宋体" w:hAnsi="宋体" w:cs="宋体"/>
                <w:szCs w:val="21"/>
              </w:rPr>
              <w:t>（2）现场评估发现1个不达标，该类不得分。</w:t>
            </w:r>
          </w:p>
          <w:p>
            <w:pPr>
              <w:rPr>
                <w:rFonts w:ascii="宋体" w:hAnsi="宋体" w:cs="宋体"/>
                <w:szCs w:val="21"/>
              </w:rPr>
            </w:pPr>
            <w:r>
              <w:rPr>
                <w:rFonts w:hint="eastAsia" w:ascii="宋体" w:hAnsi="宋体" w:cs="宋体"/>
                <w:szCs w:val="21"/>
              </w:rPr>
              <w:t>（3）复审：健康步道、小屋等数量逐年有增加或每类建设数量达到3个，每类2分，满分4分，未达标者该类不得分。</w:t>
            </w:r>
          </w:p>
        </w:tc>
        <w:tc>
          <w:tcPr>
            <w:tcW w:w="1596" w:type="dxa"/>
            <w:vAlign w:val="center"/>
          </w:tcPr>
          <w:p>
            <w:pPr>
              <w:widowControl/>
              <w:rPr>
                <w:rFonts w:ascii="宋体" w:hAnsi="宋体" w:cs="宋体"/>
                <w:kern w:val="0"/>
                <w:szCs w:val="21"/>
              </w:rPr>
            </w:pPr>
            <w:r>
              <w:rPr>
                <w:rFonts w:hint="eastAsia" w:ascii="宋体" w:hAnsi="宋体" w:cs="宋体"/>
                <w:kern w:val="0"/>
                <w:szCs w:val="21"/>
              </w:rPr>
              <w:t>查看健康支持性环境的名单,每类现场随机抽查1个。</w:t>
            </w:r>
          </w:p>
        </w:tc>
        <w:tc>
          <w:tcPr>
            <w:tcW w:w="1124" w:type="dxa"/>
            <w:vAlign w:val="center"/>
          </w:tcPr>
          <w:p>
            <w:pPr>
              <w:widowControl/>
              <w:jc w:val="center"/>
              <w:rPr>
                <w:rFonts w:hint="eastAsia"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r>
              <w:rPr>
                <w:rFonts w:hint="eastAsia" w:ascii="宋体" w:hAnsi="宋体" w:cs="宋体"/>
                <w:kern w:val="0"/>
                <w:szCs w:val="21"/>
              </w:rPr>
              <w:t>爱卫办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文旅局</w:t>
            </w:r>
          </w:p>
          <w:p>
            <w:pPr>
              <w:widowControl/>
              <w:jc w:val="center"/>
              <w:rPr>
                <w:rFonts w:ascii="宋体" w:hAnsi="宋体" w:cs="宋体"/>
                <w:kern w:val="0"/>
                <w:szCs w:val="21"/>
              </w:rPr>
            </w:pPr>
            <w:r>
              <w:rPr>
                <w:rFonts w:hint="eastAsia" w:ascii="宋体" w:hAnsi="宋体" w:cs="宋体"/>
                <w:kern w:val="0"/>
                <w:szCs w:val="21"/>
              </w:rPr>
              <w:t>城建局</w:t>
            </w:r>
          </w:p>
          <w:p>
            <w:pPr>
              <w:widowControl/>
              <w:jc w:val="center"/>
              <w:rPr>
                <w:rFonts w:ascii="宋体" w:hAnsi="宋体" w:cs="宋体"/>
                <w:kern w:val="0"/>
                <w:szCs w:val="21"/>
              </w:rPr>
            </w:pPr>
            <w:r>
              <w:rPr>
                <w:rFonts w:hint="eastAsia" w:ascii="宋体" w:hAnsi="宋体" w:cs="宋体"/>
                <w:kern w:val="0"/>
                <w:szCs w:val="21"/>
              </w:rPr>
              <w:t>各街镇</w:t>
            </w:r>
          </w:p>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color w:val="FF0000"/>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3.开展“三减三健”（减盐减油减糖、健康口腔、健康体重、健康骨骼）专项行动。（8分）</w:t>
            </w:r>
          </w:p>
        </w:tc>
        <w:tc>
          <w:tcPr>
            <w:tcW w:w="4991" w:type="dxa"/>
            <w:vAlign w:val="center"/>
          </w:tcPr>
          <w:p>
            <w:pPr>
              <w:rPr>
                <w:rFonts w:ascii="宋体" w:hAnsi="宋体" w:cs="宋体"/>
                <w:szCs w:val="21"/>
              </w:rPr>
            </w:pPr>
            <w:r>
              <w:rPr>
                <w:rFonts w:hint="eastAsia" w:ascii="宋体" w:hAnsi="宋体" w:cs="宋体"/>
                <w:szCs w:val="21"/>
              </w:rPr>
              <w:t>（1）开展“三减三健”专项行动，每开展一项得1分，满分6分。</w:t>
            </w:r>
          </w:p>
          <w:p>
            <w:pPr>
              <w:rPr>
                <w:rFonts w:ascii="宋体" w:hAnsi="宋体" w:cs="宋体"/>
                <w:szCs w:val="21"/>
              </w:rPr>
            </w:pPr>
            <w:r>
              <w:rPr>
                <w:rFonts w:hint="eastAsia" w:ascii="宋体" w:hAnsi="宋体" w:cs="宋体"/>
                <w:szCs w:val="21"/>
              </w:rPr>
              <w:t>（2）食盐与食用油的摄入量低于本省平均水平3%及以上,各1分。</w:t>
            </w:r>
            <w:r>
              <w:rPr>
                <w:rFonts w:hint="eastAsia" w:ascii="宋体" w:hAnsi="宋体" w:cs="宋体"/>
                <w:szCs w:val="21"/>
              </w:rPr>
              <w:br w:type="textWrapping"/>
            </w:r>
            <w:r>
              <w:rPr>
                <w:rFonts w:hint="eastAsia" w:ascii="宋体" w:hAnsi="宋体" w:cs="宋体"/>
                <w:szCs w:val="21"/>
              </w:rPr>
              <w:t>（3）复审：开展全民健康生活方式的“三减三健”专项行动、每开展一项得1分，满分6分。食盐与食用油的摄入量5年下降10%或低于全省平均水平3%及以上，各1分，未达标者不得分。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查阅社会因素调查报告和相关资料。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（二）为群众提供方便、可及的自助式健康检测服务。（10分）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1.社区设立自助式健康检测点，检测内容包括身高、体重、腰围、血压等。（5分）</w:t>
            </w:r>
          </w:p>
        </w:tc>
        <w:tc>
          <w:tcPr>
            <w:tcW w:w="4991" w:type="dxa"/>
            <w:vAlign w:val="center"/>
          </w:tcPr>
          <w:p>
            <w:pPr>
              <w:rPr>
                <w:rFonts w:ascii="宋体" w:hAnsi="宋体" w:cs="宋体"/>
                <w:szCs w:val="21"/>
              </w:rPr>
            </w:pPr>
            <w:r>
              <w:rPr>
                <w:rFonts w:hint="eastAsia" w:ascii="宋体" w:hAnsi="宋体" w:cs="宋体"/>
                <w:szCs w:val="21"/>
              </w:rPr>
              <w:t>（1）设在非医疗机构的自助式健康检测点的社区覆盖率≥30%，5分；20-30%，3分；20%以下0分。</w:t>
            </w:r>
          </w:p>
          <w:p>
            <w:pPr>
              <w:rPr>
                <w:rFonts w:ascii="宋体" w:hAnsi="宋体" w:cs="宋体"/>
                <w:szCs w:val="21"/>
              </w:rPr>
            </w:pPr>
            <w:r>
              <w:rPr>
                <w:rFonts w:hint="eastAsia" w:ascii="宋体" w:hAnsi="宋体" w:cs="宋体"/>
                <w:szCs w:val="21"/>
              </w:rPr>
              <w:t>（2）复审：自助式健康检测点逐年增加5%或达到40%及以上，5分，未达标者不得分。</w:t>
            </w:r>
          </w:p>
        </w:tc>
        <w:tc>
          <w:tcPr>
            <w:tcW w:w="1596" w:type="dxa"/>
            <w:vAlign w:val="center"/>
          </w:tcPr>
          <w:p>
            <w:pPr>
              <w:widowControl/>
              <w:rPr>
                <w:rFonts w:ascii="宋体" w:hAnsi="宋体" w:cs="宋体"/>
                <w:kern w:val="0"/>
                <w:szCs w:val="21"/>
              </w:rPr>
            </w:pPr>
            <w:r>
              <w:rPr>
                <w:rFonts w:hint="eastAsia" w:ascii="宋体" w:hAnsi="宋体" w:cs="宋体"/>
                <w:kern w:val="0"/>
                <w:szCs w:val="21"/>
              </w:rPr>
              <w:t>查看自助式健康检测点名单,现场随机抽查健康社区、单位各1家。</w:t>
            </w:r>
          </w:p>
          <w:p>
            <w:pPr>
              <w:widowControl/>
              <w:rPr>
                <w:rFonts w:ascii="宋体" w:hAnsi="宋体" w:cs="宋体"/>
                <w:kern w:val="0"/>
                <w:szCs w:val="21"/>
              </w:rPr>
            </w:pPr>
            <w:r>
              <w:rPr>
                <w:rFonts w:hint="eastAsia" w:ascii="宋体" w:hAnsi="宋体" w:cs="宋体"/>
                <w:szCs w:val="21"/>
              </w:rPr>
              <w:t>社区指村/居委会。</w:t>
            </w:r>
          </w:p>
        </w:tc>
        <w:tc>
          <w:tcPr>
            <w:tcW w:w="1124" w:type="dxa"/>
            <w:vAlign w:val="center"/>
          </w:tcPr>
          <w:p>
            <w:pPr>
              <w:widowControl/>
              <w:jc w:val="center"/>
              <w:rPr>
                <w:rFonts w:ascii="宋体" w:hAnsi="宋体" w:cs="宋体"/>
                <w:szCs w:val="21"/>
              </w:rPr>
            </w:pPr>
            <w:r>
              <w:rPr>
                <w:rFonts w:hint="eastAsia" w:ascii="宋体" w:hAnsi="宋体" w:cs="宋体"/>
                <w:kern w:val="0"/>
                <w:szCs w:val="21"/>
              </w:rPr>
              <w:t>复评审办</w:t>
            </w:r>
          </w:p>
          <w:p>
            <w:pPr>
              <w:widowControl/>
              <w:jc w:val="center"/>
              <w:rPr>
                <w:rFonts w:ascii="宋体" w:hAnsi="宋体" w:cs="宋体"/>
                <w:szCs w:val="21"/>
              </w:rPr>
            </w:pPr>
          </w:p>
        </w:tc>
        <w:tc>
          <w:tcPr>
            <w:tcW w:w="1355" w:type="dxa"/>
            <w:vAlign w:val="center"/>
          </w:tcPr>
          <w:p>
            <w:pPr>
              <w:widowControl/>
              <w:jc w:val="center"/>
              <w:rPr>
                <w:rFonts w:ascii="宋体" w:hAnsi="宋体" w:cs="宋体"/>
                <w:szCs w:val="21"/>
              </w:rPr>
            </w:pPr>
            <w:r>
              <w:rPr>
                <w:rFonts w:hint="eastAsia" w:ascii="宋体" w:hAnsi="宋体" w:cs="宋体"/>
                <w:kern w:val="0"/>
                <w:szCs w:val="21"/>
              </w:rPr>
              <w:t>各街镇</w:t>
            </w:r>
          </w:p>
        </w:tc>
        <w:tc>
          <w:tcPr>
            <w:tcW w:w="992" w:type="dxa"/>
            <w:vAlign w:val="center"/>
          </w:tcPr>
          <w:p>
            <w:pPr>
              <w:widowControl/>
              <w:jc w:val="center"/>
              <w:rPr>
                <w:rFonts w:ascii="宋体" w:hAnsi="宋体" w:cs="宋体"/>
                <w:szCs w:val="21"/>
              </w:rPr>
            </w:pPr>
            <w:r>
              <w:rPr>
                <w:rFonts w:hint="eastAsia" w:ascii="宋体" w:hAnsi="宋体" w:cs="宋体"/>
                <w:szCs w:val="21"/>
              </w:rPr>
              <w:t>卫健委</w:t>
            </w:r>
          </w:p>
        </w:tc>
        <w:tc>
          <w:tcPr>
            <w:tcW w:w="954" w:type="dxa"/>
            <w:vAlign w:val="center"/>
          </w:tcPr>
          <w:p>
            <w:pPr>
              <w:widowControl/>
              <w:jc w:val="center"/>
              <w:rPr>
                <w:rFonts w:ascii="宋体" w:hAnsi="宋体" w:cs="宋体"/>
                <w:szCs w:val="21"/>
              </w:rPr>
            </w:pPr>
            <w:r>
              <w:rPr>
                <w:rFonts w:hint="eastAsia" w:ascii="宋体" w:hAnsi="宋体" w:cs="宋体"/>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2.社区卫生服务中心和乡镇卫生院设置自助式健康检测点，并提供个体化健康指导。（5分）</w:t>
            </w:r>
          </w:p>
        </w:tc>
        <w:tc>
          <w:tcPr>
            <w:tcW w:w="4991" w:type="dxa"/>
            <w:vAlign w:val="center"/>
          </w:tcPr>
          <w:p>
            <w:pPr>
              <w:rPr>
                <w:rFonts w:ascii="宋体" w:hAnsi="宋体" w:cs="宋体"/>
                <w:szCs w:val="21"/>
              </w:rPr>
            </w:pPr>
            <w:r>
              <w:rPr>
                <w:rFonts w:hint="eastAsia" w:ascii="宋体" w:hAnsi="宋体" w:cs="宋体"/>
                <w:szCs w:val="21"/>
              </w:rPr>
              <w:t>（1）设置健康检测点的机构覆盖率≥80%，2分；70-80%，1分；70%以下0分。</w:t>
            </w:r>
            <w:r>
              <w:rPr>
                <w:rFonts w:hint="eastAsia" w:ascii="宋体" w:hAnsi="宋体" w:cs="宋体"/>
                <w:szCs w:val="21"/>
              </w:rPr>
              <w:br w:type="textWrapping"/>
            </w:r>
            <w:r>
              <w:rPr>
                <w:rFonts w:hint="eastAsia" w:ascii="宋体" w:hAnsi="宋体" w:cs="宋体"/>
                <w:szCs w:val="21"/>
              </w:rPr>
              <w:t>（2）提供个性化健康指导的机构比例≥50%，3分；40-50%，2分；30-40%，1分；30%以下0分。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现场查看医疗机构免费健康检测点的设置及健康指导的记录。</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szCs w:val="21"/>
              </w:rPr>
              <w:t>卫健委</w:t>
            </w:r>
          </w:p>
        </w:tc>
        <w:tc>
          <w:tcPr>
            <w:tcW w:w="992" w:type="dxa"/>
            <w:vAlign w:val="center"/>
          </w:tcPr>
          <w:p>
            <w:pPr>
              <w:widowControl/>
              <w:jc w:val="center"/>
              <w:rPr>
                <w:rFonts w:ascii="宋体" w:hAnsi="宋体" w:cs="宋体"/>
                <w:szCs w:val="21"/>
              </w:rPr>
            </w:pPr>
            <w:r>
              <w:rPr>
                <w:rFonts w:hint="eastAsia" w:ascii="宋体" w:hAnsi="宋体" w:cs="宋体"/>
                <w:kern w:val="0"/>
                <w:szCs w:val="21"/>
              </w:rPr>
              <w:t>各街镇</w:t>
            </w:r>
          </w:p>
        </w:tc>
        <w:tc>
          <w:tcPr>
            <w:tcW w:w="954" w:type="dxa"/>
            <w:vAlign w:val="center"/>
          </w:tcPr>
          <w:p>
            <w:pPr>
              <w:widowControl/>
              <w:jc w:val="center"/>
              <w:rPr>
                <w:rFonts w:ascii="宋体" w:hAnsi="宋体" w:cs="宋体"/>
                <w:szCs w:val="21"/>
              </w:rPr>
            </w:pPr>
            <w:r>
              <w:rPr>
                <w:rFonts w:hint="eastAsia" w:ascii="宋体" w:hAnsi="宋体" w:cs="宋体"/>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（三）开展全民健身运动，普及公共体育设施，提高经常参加体育锻炼人口比例。</w:t>
            </w:r>
          </w:p>
          <w:p>
            <w:pPr>
              <w:adjustRightInd w:val="0"/>
              <w:snapToGrid w:val="0"/>
              <w:jc w:val="left"/>
              <w:rPr>
                <w:rFonts w:ascii="宋体" w:hAnsi="宋体" w:cs="宋体"/>
                <w:szCs w:val="21"/>
              </w:rPr>
            </w:pPr>
            <w:r>
              <w:rPr>
                <w:rFonts w:hint="eastAsia" w:ascii="宋体" w:hAnsi="宋体" w:cs="宋体"/>
                <w:szCs w:val="21"/>
              </w:rPr>
              <w:t>（10分）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1.社区建设15分钟健身圈，居民健身设施完好，提高人均体育场地面积。（2分）</w:t>
            </w:r>
          </w:p>
        </w:tc>
        <w:tc>
          <w:tcPr>
            <w:tcW w:w="4991" w:type="dxa"/>
            <w:vAlign w:val="center"/>
          </w:tcPr>
          <w:p>
            <w:pPr>
              <w:rPr>
                <w:rFonts w:ascii="宋体" w:hAnsi="宋体" w:cs="宋体"/>
                <w:szCs w:val="21"/>
              </w:rPr>
            </w:pPr>
            <w:r>
              <w:rPr>
                <w:rFonts w:hint="eastAsia" w:ascii="宋体" w:hAnsi="宋体" w:cs="宋体"/>
                <w:szCs w:val="21"/>
              </w:rPr>
              <w:t>（1）社区15分钟健身圈的覆盖率≥90%，1分；70-90%，0.5分；70%以下0分。</w:t>
            </w:r>
            <w:r>
              <w:rPr>
                <w:rFonts w:hint="eastAsia" w:ascii="宋体" w:hAnsi="宋体" w:cs="宋体"/>
                <w:szCs w:val="21"/>
              </w:rPr>
              <w:br w:type="textWrapping"/>
            </w:r>
            <w:r>
              <w:rPr>
                <w:rFonts w:hint="eastAsia" w:ascii="宋体" w:hAnsi="宋体" w:cs="宋体"/>
                <w:szCs w:val="21"/>
              </w:rPr>
              <w:t>（2）设备完好100%，0.5分；其余0分。</w:t>
            </w:r>
          </w:p>
          <w:p>
            <w:pPr>
              <w:rPr>
                <w:rFonts w:ascii="宋体" w:hAnsi="宋体" w:cs="宋体"/>
                <w:szCs w:val="21"/>
              </w:rPr>
            </w:pPr>
            <w:r>
              <w:rPr>
                <w:rFonts w:hint="eastAsia" w:ascii="宋体" w:hAnsi="宋体" w:cs="宋体"/>
                <w:szCs w:val="21"/>
              </w:rPr>
              <w:t>（3）人均体育场地面积达2平米，0.5分；其余0分。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查阅资料，现场随机抽查村委会或居委会。</w:t>
            </w:r>
          </w:p>
          <w:p>
            <w:pPr>
              <w:widowControl/>
              <w:rPr>
                <w:rFonts w:ascii="宋体" w:hAnsi="宋体" w:cs="宋体"/>
                <w:kern w:val="0"/>
                <w:szCs w:val="21"/>
              </w:rPr>
            </w:pPr>
            <w:r>
              <w:rPr>
                <w:rFonts w:hint="eastAsia" w:ascii="宋体" w:hAnsi="宋体" w:cs="宋体"/>
                <w:szCs w:val="21"/>
              </w:rPr>
              <w:t>社区指村/居委会。</w:t>
            </w:r>
          </w:p>
        </w:tc>
        <w:tc>
          <w:tcPr>
            <w:tcW w:w="1124" w:type="dxa"/>
            <w:vAlign w:val="center"/>
          </w:tcPr>
          <w:p>
            <w:pPr>
              <w:widowControl/>
              <w:jc w:val="center"/>
              <w:rPr>
                <w:rFonts w:ascii="宋体" w:hAnsi="宋体" w:cs="宋体"/>
                <w:szCs w:val="21"/>
              </w:rPr>
            </w:pPr>
            <w:r>
              <w:rPr>
                <w:rFonts w:hint="eastAsia" w:ascii="宋体" w:hAnsi="宋体" w:cs="宋体"/>
                <w:szCs w:val="21"/>
              </w:rPr>
              <w:t>文旅局</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文旅局</w:t>
            </w:r>
          </w:p>
          <w:p>
            <w:pPr>
              <w:widowControl/>
              <w:jc w:val="center"/>
              <w:rPr>
                <w:rFonts w:ascii="宋体" w:hAnsi="宋体" w:cs="宋体"/>
                <w:szCs w:val="21"/>
              </w:rPr>
            </w:pPr>
          </w:p>
        </w:tc>
        <w:tc>
          <w:tcPr>
            <w:tcW w:w="992" w:type="dxa"/>
            <w:vAlign w:val="center"/>
          </w:tcPr>
          <w:p>
            <w:pPr>
              <w:widowControl/>
              <w:jc w:val="center"/>
              <w:rPr>
                <w:rFonts w:ascii="宋体" w:hAnsi="宋体" w:cs="宋体"/>
                <w:szCs w:val="21"/>
              </w:rPr>
            </w:pPr>
            <w:r>
              <w:rPr>
                <w:rFonts w:hint="eastAsia" w:ascii="宋体" w:hAnsi="宋体" w:cs="宋体"/>
                <w:szCs w:val="21"/>
              </w:rPr>
              <w:t>各街镇</w:t>
            </w:r>
          </w:p>
        </w:tc>
        <w:tc>
          <w:tcPr>
            <w:tcW w:w="954" w:type="dxa"/>
            <w:vAlign w:val="center"/>
          </w:tcPr>
          <w:p>
            <w:pPr>
              <w:widowControl/>
              <w:jc w:val="center"/>
              <w:rPr>
                <w:rFonts w:ascii="宋体" w:hAnsi="宋体" w:cs="宋体"/>
                <w:szCs w:val="21"/>
              </w:rPr>
            </w:pPr>
            <w:r>
              <w:rPr>
                <w:rFonts w:hint="eastAsia" w:ascii="宋体" w:hAnsi="宋体" w:cs="宋体"/>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2.公共体育场地、有条件的企事业、学校的体育场地免费或低收费向社区居民开放。（2分）</w:t>
            </w:r>
          </w:p>
        </w:tc>
        <w:tc>
          <w:tcPr>
            <w:tcW w:w="4991" w:type="dxa"/>
            <w:vAlign w:val="center"/>
          </w:tcPr>
          <w:p>
            <w:pPr>
              <w:rPr>
                <w:rFonts w:ascii="宋体" w:hAnsi="宋体" w:cs="宋体"/>
                <w:szCs w:val="21"/>
              </w:rPr>
            </w:pPr>
            <w:r>
              <w:rPr>
                <w:rFonts w:hint="eastAsia" w:ascii="宋体" w:hAnsi="宋体" w:cs="宋体"/>
                <w:szCs w:val="21"/>
              </w:rPr>
              <w:t>（1）公共体育场地、设施免费或低收费开放比例100%，1分；其余0分。</w:t>
            </w:r>
            <w:r>
              <w:rPr>
                <w:rFonts w:hint="eastAsia" w:ascii="宋体" w:hAnsi="宋体" w:cs="宋体"/>
                <w:szCs w:val="21"/>
              </w:rPr>
              <w:br w:type="textWrapping"/>
            </w:r>
            <w:r>
              <w:rPr>
                <w:rFonts w:hint="eastAsia" w:ascii="宋体" w:hAnsi="宋体" w:cs="宋体"/>
                <w:szCs w:val="21"/>
              </w:rPr>
              <w:t>（2）有条件的单位免费或低收费开放比例≥30%，1分；30%以下0分。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查阅资料，现场评估，走访辖区居民了解开放情况。</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文旅局</w:t>
            </w:r>
          </w:p>
          <w:p>
            <w:pPr>
              <w:widowControl/>
              <w:jc w:val="center"/>
              <w:rPr>
                <w:rFonts w:ascii="宋体" w:hAnsi="宋体" w:cs="宋体"/>
                <w:kern w:val="0"/>
                <w:szCs w:val="21"/>
              </w:rPr>
            </w:pP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教育局</w:t>
            </w:r>
          </w:p>
          <w:p>
            <w:pPr>
              <w:widowControl/>
              <w:jc w:val="center"/>
              <w:rPr>
                <w:rFonts w:ascii="宋体" w:hAnsi="宋体" w:cs="宋体"/>
                <w:kern w:val="0"/>
                <w:szCs w:val="21"/>
              </w:rPr>
            </w:pPr>
            <w:r>
              <w:rPr>
                <w:rFonts w:hint="eastAsia" w:ascii="宋体" w:hAnsi="宋体" w:cs="宋体"/>
                <w:kern w:val="0"/>
                <w:szCs w:val="21"/>
              </w:rPr>
              <w:t>各镇街</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各相关单位</w:t>
            </w:r>
          </w:p>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3.机关、企事业单位开展工间健身活动，组织符合单位特点的健身和竞赛活动。（2分）</w:t>
            </w:r>
          </w:p>
        </w:tc>
        <w:tc>
          <w:tcPr>
            <w:tcW w:w="4991" w:type="dxa"/>
            <w:vAlign w:val="center"/>
          </w:tcPr>
          <w:p>
            <w:pPr>
              <w:rPr>
                <w:rFonts w:ascii="宋体" w:hAnsi="宋体" w:cs="宋体"/>
                <w:szCs w:val="21"/>
              </w:rPr>
            </w:pPr>
            <w:r>
              <w:rPr>
                <w:rFonts w:hint="eastAsia" w:ascii="宋体" w:hAnsi="宋体" w:cs="宋体"/>
                <w:szCs w:val="21"/>
              </w:rPr>
              <w:t>（1）开展工间健身活动单位覆盖率≥80%，1分；80%以下0分。</w:t>
            </w:r>
          </w:p>
          <w:p>
            <w:pPr>
              <w:rPr>
                <w:rFonts w:ascii="宋体" w:hAnsi="宋体" w:cs="宋体"/>
                <w:szCs w:val="21"/>
              </w:rPr>
            </w:pPr>
            <w:r>
              <w:rPr>
                <w:rFonts w:hint="eastAsia" w:ascii="宋体" w:hAnsi="宋体" w:cs="宋体"/>
                <w:szCs w:val="21"/>
              </w:rPr>
              <w:t>（2）每年机关、企事业单位组织开展至少1次健身竞赛活动，1分；未开展不得分。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区级机关工委、总工会、</w:t>
            </w:r>
          </w:p>
          <w:p>
            <w:pPr>
              <w:widowControl/>
              <w:jc w:val="center"/>
              <w:rPr>
                <w:rFonts w:ascii="宋体" w:hAnsi="宋体" w:cs="宋体"/>
                <w:kern w:val="0"/>
                <w:szCs w:val="21"/>
              </w:rPr>
            </w:pPr>
            <w:r>
              <w:rPr>
                <w:rFonts w:hint="eastAsia" w:ascii="宋体" w:hAnsi="宋体" w:cs="宋体"/>
                <w:kern w:val="0"/>
                <w:szCs w:val="21"/>
              </w:rPr>
              <w:t>文旅局</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w:t>
            </w:r>
          </w:p>
          <w:p>
            <w:pPr>
              <w:widowControl/>
              <w:jc w:val="center"/>
              <w:rPr>
                <w:rFonts w:ascii="宋体" w:hAnsi="宋体" w:cs="宋体"/>
                <w:kern w:val="0"/>
                <w:szCs w:val="21"/>
              </w:rPr>
            </w:pPr>
            <w:r>
              <w:rPr>
                <w:rFonts w:hint="eastAsia" w:ascii="宋体" w:hAnsi="宋体" w:cs="宋体"/>
                <w:kern w:val="0"/>
                <w:szCs w:val="21"/>
              </w:rPr>
              <w:t>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4.实施青少年体育活动促进计划。（2分）</w:t>
            </w:r>
          </w:p>
        </w:tc>
        <w:tc>
          <w:tcPr>
            <w:tcW w:w="4991" w:type="dxa"/>
            <w:vAlign w:val="center"/>
          </w:tcPr>
          <w:p>
            <w:pPr>
              <w:rPr>
                <w:rFonts w:ascii="宋体" w:hAnsi="宋体" w:cs="宋体"/>
                <w:szCs w:val="21"/>
              </w:rPr>
            </w:pPr>
            <w:r>
              <w:rPr>
                <w:rFonts w:hint="eastAsia" w:ascii="宋体" w:hAnsi="宋体" w:cs="宋体"/>
                <w:szCs w:val="21"/>
              </w:rPr>
              <w:t>中、小学生每天锻炼1小时的比例达到100%，2分；80-100%，1分；80%以下0分。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教育局</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教育局</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各街镇</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5.提高经常参加体育锻炼人口比例。（2分）</w:t>
            </w:r>
          </w:p>
        </w:tc>
        <w:tc>
          <w:tcPr>
            <w:tcW w:w="4991" w:type="dxa"/>
            <w:vAlign w:val="center"/>
          </w:tcPr>
          <w:p>
            <w:pPr>
              <w:rPr>
                <w:rFonts w:ascii="宋体" w:hAnsi="宋体" w:cs="宋体"/>
                <w:szCs w:val="21"/>
              </w:rPr>
            </w:pPr>
            <w:r>
              <w:rPr>
                <w:rFonts w:hint="eastAsia" w:ascii="宋体" w:hAnsi="宋体" w:cs="宋体"/>
                <w:szCs w:val="21"/>
              </w:rPr>
              <w:t>经常参加体育锻炼人口比例≥40%,2分；35-40%，1分；35%以下0分。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查阅体育部门相关资料。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文旅局</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文旅局</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各街镇</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（四）开展烟草控制，降低人群吸烟率。</w:t>
            </w:r>
          </w:p>
          <w:p>
            <w:pPr>
              <w:adjustRightInd w:val="0"/>
              <w:snapToGrid w:val="0"/>
              <w:jc w:val="left"/>
              <w:rPr>
                <w:rFonts w:ascii="宋体" w:hAnsi="宋体" w:cs="宋体"/>
                <w:szCs w:val="21"/>
              </w:rPr>
            </w:pPr>
            <w:r>
              <w:rPr>
                <w:rFonts w:hint="eastAsia" w:ascii="宋体" w:hAnsi="宋体" w:cs="宋体"/>
                <w:szCs w:val="21"/>
              </w:rPr>
              <w:t>（10分）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1.辖区室内公共场所、工作场所和公共交通工具设置禁止吸烟警语和标识。（3分）</w:t>
            </w:r>
          </w:p>
        </w:tc>
        <w:tc>
          <w:tcPr>
            <w:tcW w:w="4991" w:type="dxa"/>
            <w:vAlign w:val="center"/>
          </w:tcPr>
          <w:p>
            <w:pPr>
              <w:rPr>
                <w:rFonts w:ascii="宋体" w:hAnsi="宋体" w:cs="宋体"/>
                <w:szCs w:val="21"/>
              </w:rPr>
            </w:pPr>
            <w:r>
              <w:rPr>
                <w:rFonts w:hint="eastAsia" w:ascii="宋体" w:hAnsi="宋体" w:cs="宋体"/>
                <w:szCs w:val="21"/>
              </w:rPr>
              <w:t>辖区100%的室内公共场所和工作场所设置禁止吸烟警语和标识，3分；95-100%,1分；95%以下0分。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现场随机抽查。</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r>
              <w:rPr>
                <w:rFonts w:hint="eastAsia" w:ascii="宋体" w:hAnsi="宋体" w:cs="宋体"/>
                <w:kern w:val="0"/>
                <w:szCs w:val="21"/>
              </w:rPr>
              <w:t>爱卫办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2.禁止烟草广告。（1分）</w:t>
            </w:r>
          </w:p>
        </w:tc>
        <w:tc>
          <w:tcPr>
            <w:tcW w:w="4991" w:type="dxa"/>
            <w:vAlign w:val="center"/>
          </w:tcPr>
          <w:p>
            <w:pPr>
              <w:rPr>
                <w:rFonts w:ascii="宋体" w:hAnsi="宋体" w:cs="宋体"/>
                <w:szCs w:val="21"/>
              </w:rPr>
            </w:pPr>
            <w:r>
              <w:rPr>
                <w:rFonts w:hint="eastAsia" w:ascii="宋体" w:hAnsi="宋体" w:cs="宋体"/>
                <w:szCs w:val="21"/>
              </w:rPr>
              <w:t>（1）辖区有禁止烟草广告的政策文件，0.5分；其余0分。</w:t>
            </w:r>
          </w:p>
          <w:p>
            <w:pPr>
              <w:rPr>
                <w:rFonts w:ascii="宋体" w:hAnsi="宋体" w:cs="宋体"/>
                <w:szCs w:val="21"/>
              </w:rPr>
            </w:pPr>
            <w:r>
              <w:rPr>
                <w:rFonts w:hint="eastAsia" w:ascii="宋体" w:hAnsi="宋体" w:cs="宋体"/>
                <w:szCs w:val="21"/>
              </w:rPr>
              <w:t>（2）辖区未发现烟草广告，0.5分；其余0分。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w:t>
            </w:r>
          </w:p>
        </w:tc>
        <w:tc>
          <w:tcPr>
            <w:tcW w:w="1124" w:type="dxa"/>
            <w:vAlign w:val="center"/>
          </w:tcPr>
          <w:p>
            <w:pPr>
              <w:widowControl/>
              <w:jc w:val="center"/>
              <w:rPr>
                <w:rFonts w:hint="eastAsia" w:ascii="宋体" w:hAnsi="宋体" w:cs="宋体"/>
                <w:kern w:val="0"/>
                <w:szCs w:val="21"/>
              </w:rPr>
            </w:pPr>
            <w:r>
              <w:rPr>
                <w:rFonts w:hint="eastAsia" w:ascii="宋体" w:hAnsi="宋体" w:cs="宋体"/>
                <w:kern w:val="0"/>
                <w:szCs w:val="21"/>
              </w:rPr>
              <w:t>市场</w:t>
            </w:r>
          </w:p>
          <w:p>
            <w:pPr>
              <w:widowControl/>
              <w:jc w:val="center"/>
              <w:rPr>
                <w:rFonts w:ascii="宋体" w:hAnsi="宋体" w:cs="宋体"/>
                <w:kern w:val="0"/>
                <w:szCs w:val="21"/>
                <w:highlight w:val="magenta"/>
              </w:rPr>
            </w:pPr>
            <w:r>
              <w:rPr>
                <w:rFonts w:hint="eastAsia" w:ascii="宋体" w:hAnsi="宋体" w:cs="宋体"/>
                <w:kern w:val="0"/>
                <w:szCs w:val="21"/>
              </w:rPr>
              <w:t>监管局</w:t>
            </w:r>
          </w:p>
        </w:tc>
        <w:tc>
          <w:tcPr>
            <w:tcW w:w="1355" w:type="dxa"/>
            <w:vAlign w:val="center"/>
          </w:tcPr>
          <w:p>
            <w:pPr>
              <w:widowControl/>
              <w:jc w:val="center"/>
              <w:rPr>
                <w:rFonts w:ascii="宋体" w:hAnsi="宋体" w:cs="宋体"/>
                <w:strike/>
                <w:kern w:val="0"/>
                <w:szCs w:val="21"/>
                <w:highlight w:val="magenta"/>
              </w:rPr>
            </w:pPr>
            <w:r>
              <w:rPr>
                <w:rFonts w:hint="eastAsia" w:ascii="宋体" w:hAnsi="宋体" w:cs="宋体"/>
                <w:kern w:val="0"/>
                <w:szCs w:val="21"/>
              </w:rPr>
              <w:t>市场监管局</w:t>
            </w:r>
          </w:p>
        </w:tc>
        <w:tc>
          <w:tcPr>
            <w:tcW w:w="992" w:type="dxa"/>
            <w:vAlign w:val="center"/>
          </w:tcPr>
          <w:p>
            <w:pPr>
              <w:widowControl/>
              <w:jc w:val="center"/>
              <w:rPr>
                <w:rFonts w:ascii="宋体" w:hAnsi="宋体" w:cs="宋体"/>
                <w:kern w:val="0"/>
                <w:szCs w:val="21"/>
                <w:highlight w:val="cyan"/>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3.建设无烟党政机关、无烟医疗卫生健康机构、无烟学校。（2分）</w:t>
            </w:r>
          </w:p>
        </w:tc>
        <w:tc>
          <w:tcPr>
            <w:tcW w:w="4991" w:type="dxa"/>
            <w:vAlign w:val="center"/>
          </w:tcPr>
          <w:p>
            <w:pPr>
              <w:rPr>
                <w:rFonts w:ascii="宋体" w:hAnsi="宋体" w:cs="宋体"/>
                <w:szCs w:val="21"/>
              </w:rPr>
            </w:pPr>
            <w:r>
              <w:rPr>
                <w:rFonts w:hint="eastAsia" w:ascii="宋体" w:hAnsi="宋体" w:cs="宋体"/>
                <w:szCs w:val="21"/>
              </w:rPr>
              <w:t>（1）覆盖率均达100%，2分；100%以下0分。</w:t>
            </w:r>
          </w:p>
          <w:p>
            <w:pPr>
              <w:rPr>
                <w:rFonts w:ascii="宋体" w:hAnsi="宋体" w:cs="宋体"/>
                <w:szCs w:val="21"/>
              </w:rPr>
            </w:pPr>
            <w:r>
              <w:rPr>
                <w:rFonts w:hint="eastAsia" w:ascii="宋体" w:hAnsi="宋体" w:cs="宋体"/>
                <w:szCs w:val="21"/>
              </w:rPr>
              <w:t>（2）抽查发现1个单位不合格，不得分。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查阅资料，现场随机抽查。</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爱卫办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宣传部、机关工委、</w:t>
            </w:r>
          </w:p>
          <w:p>
            <w:pPr>
              <w:widowControl/>
              <w:jc w:val="center"/>
              <w:rPr>
                <w:rFonts w:ascii="宋体" w:hAnsi="宋体" w:cs="宋体"/>
                <w:kern w:val="0"/>
                <w:szCs w:val="21"/>
              </w:rPr>
            </w:pPr>
            <w:r>
              <w:rPr>
                <w:rFonts w:hint="eastAsia" w:ascii="宋体" w:hAnsi="宋体" w:cs="宋体"/>
                <w:kern w:val="0"/>
                <w:szCs w:val="21"/>
              </w:rPr>
              <w:t>卫健委、教育局</w:t>
            </w:r>
          </w:p>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4.辖区各级医疗机构开展简短戒烟服务培训，二级及以上医疗机构提供简短戒烟服务。（2分）</w:t>
            </w:r>
          </w:p>
        </w:tc>
        <w:tc>
          <w:tcPr>
            <w:tcW w:w="4991" w:type="dxa"/>
            <w:vAlign w:val="center"/>
          </w:tcPr>
          <w:p>
            <w:pPr>
              <w:rPr>
                <w:rFonts w:ascii="宋体" w:hAnsi="宋体" w:cs="宋体"/>
                <w:szCs w:val="21"/>
              </w:rPr>
            </w:pPr>
            <w:r>
              <w:rPr>
                <w:rFonts w:hint="eastAsia" w:ascii="宋体" w:hAnsi="宋体" w:cs="宋体"/>
                <w:szCs w:val="21"/>
              </w:rPr>
              <w:t>（1）开展简短戒烟服务培训的医疗机构覆盖率≥80%，1分；80%以下0分。</w:t>
            </w:r>
          </w:p>
          <w:p>
            <w:pPr>
              <w:rPr>
                <w:rFonts w:ascii="宋体" w:hAnsi="宋体" w:cs="宋体"/>
                <w:szCs w:val="21"/>
              </w:rPr>
            </w:pPr>
            <w:r>
              <w:rPr>
                <w:rFonts w:hint="eastAsia" w:ascii="宋体" w:hAnsi="宋体" w:cs="宋体"/>
                <w:szCs w:val="21"/>
              </w:rPr>
              <w:t>（2）提供简短戒烟服务的医疗机构覆盖率100%，1分；100%以下0分。</w:t>
            </w:r>
          </w:p>
          <w:p>
            <w:pPr>
              <w:rPr>
                <w:rFonts w:ascii="宋体" w:hAnsi="宋体" w:cs="宋体"/>
                <w:szCs w:val="21"/>
              </w:rPr>
            </w:pPr>
            <w:r>
              <w:rPr>
                <w:rFonts w:hint="eastAsia" w:ascii="宋体" w:hAnsi="宋体" w:cs="宋体"/>
                <w:szCs w:val="21"/>
              </w:rPr>
              <w:t>医疗机构包括辖区所在一、二、三级医疗机构和妇幼保健院。</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查阅资料,现场抽查医疗机构提供简短戒烟服务的情况。</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爱卫办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5.降低辖区15岁及以上人群吸烟率。（2分）</w:t>
            </w:r>
          </w:p>
        </w:tc>
        <w:tc>
          <w:tcPr>
            <w:tcW w:w="4991" w:type="dxa"/>
            <w:vAlign w:val="center"/>
          </w:tcPr>
          <w:p>
            <w:pPr>
              <w:rPr>
                <w:rFonts w:ascii="宋体" w:hAnsi="宋体" w:cs="宋体"/>
                <w:szCs w:val="21"/>
              </w:rPr>
            </w:pPr>
            <w:r>
              <w:rPr>
                <w:rFonts w:hint="eastAsia" w:ascii="宋体" w:hAnsi="宋体" w:cs="宋体"/>
                <w:szCs w:val="21"/>
              </w:rPr>
              <w:t>（1）15岁及以上人群吸烟率低于25%，2分；其余0分。</w:t>
            </w:r>
            <w:r>
              <w:rPr>
                <w:rFonts w:hint="eastAsia" w:ascii="宋体" w:hAnsi="宋体" w:cs="宋体"/>
                <w:szCs w:val="21"/>
              </w:rPr>
              <w:br w:type="textWrapping"/>
            </w:r>
            <w:r>
              <w:rPr>
                <w:rFonts w:hint="eastAsia" w:ascii="宋体" w:hAnsi="宋体" w:cs="宋体"/>
                <w:szCs w:val="21"/>
              </w:rPr>
              <w:t>（2）复审：15岁及以上人群吸烟率逐年下降，5年降低10%；5年降低未达到10%不得分。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查阅中国慢性病与营养监测、社会因素调查报告。</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爱卫办</w:t>
            </w:r>
          </w:p>
          <w:p>
            <w:pPr>
              <w:widowControl/>
              <w:jc w:val="center"/>
              <w:rPr>
                <w:rFonts w:ascii="宋体" w:hAnsi="宋体" w:cs="宋体"/>
                <w:kern w:val="0"/>
                <w:szCs w:val="21"/>
              </w:rPr>
            </w:pP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宣传部、</w:t>
            </w:r>
          </w:p>
          <w:p>
            <w:pPr>
              <w:widowControl/>
              <w:jc w:val="center"/>
              <w:rPr>
                <w:rFonts w:ascii="宋体" w:hAnsi="宋体" w:cs="宋体"/>
                <w:kern w:val="0"/>
                <w:szCs w:val="21"/>
              </w:rPr>
            </w:pPr>
            <w:r>
              <w:rPr>
                <w:rFonts w:hint="eastAsia" w:ascii="宋体" w:hAnsi="宋体" w:cs="宋体"/>
                <w:kern w:val="0"/>
                <w:szCs w:val="21"/>
              </w:rPr>
              <w:t>融媒体中心</w:t>
            </w:r>
          </w:p>
          <w:p>
            <w:pPr>
              <w:widowControl/>
              <w:jc w:val="center"/>
              <w:rPr>
                <w:rFonts w:ascii="宋体" w:hAnsi="宋体" w:cs="宋体"/>
                <w:kern w:val="0"/>
                <w:szCs w:val="21"/>
              </w:rPr>
            </w:pPr>
            <w:r>
              <w:rPr>
                <w:rFonts w:hint="eastAsia" w:ascii="宋体" w:hAnsi="宋体" w:cs="宋体"/>
                <w:kern w:val="0"/>
                <w:szCs w:val="21"/>
              </w:rPr>
              <w:t>交通局</w:t>
            </w:r>
          </w:p>
          <w:p>
            <w:pPr>
              <w:widowControl/>
              <w:jc w:val="center"/>
              <w:rPr>
                <w:rFonts w:ascii="宋体" w:hAnsi="宋体" w:cs="宋体"/>
                <w:kern w:val="0"/>
                <w:szCs w:val="21"/>
              </w:rPr>
            </w:pPr>
            <w:r>
              <w:rPr>
                <w:rFonts w:hint="eastAsia" w:ascii="宋体" w:hAnsi="宋体" w:cs="宋体"/>
                <w:kern w:val="0"/>
                <w:szCs w:val="21"/>
              </w:rPr>
              <w:t>教育局</w:t>
            </w:r>
          </w:p>
          <w:p>
            <w:pPr>
              <w:widowControl/>
              <w:jc w:val="center"/>
              <w:rPr>
                <w:rFonts w:ascii="宋体" w:hAnsi="宋体" w:cs="宋体"/>
                <w:kern w:val="0"/>
                <w:szCs w:val="21"/>
              </w:rPr>
            </w:pPr>
            <w:r>
              <w:rPr>
                <w:rFonts w:hint="eastAsia" w:ascii="宋体" w:hAnsi="宋体" w:cs="宋体"/>
                <w:kern w:val="0"/>
                <w:szCs w:val="21"/>
              </w:rPr>
              <w:t>妇联</w:t>
            </w:r>
          </w:p>
          <w:p>
            <w:pPr>
              <w:widowControl/>
              <w:jc w:val="center"/>
              <w:rPr>
                <w:rFonts w:ascii="宋体" w:hAnsi="宋体" w:cs="宋体"/>
                <w:kern w:val="0"/>
                <w:szCs w:val="21"/>
              </w:rPr>
            </w:pPr>
            <w:r>
              <w:rPr>
                <w:rFonts w:hint="eastAsia" w:ascii="宋体" w:hAnsi="宋体" w:cs="宋体"/>
                <w:kern w:val="0"/>
                <w:szCs w:val="21"/>
              </w:rPr>
              <w:t>团区委</w:t>
            </w:r>
          </w:p>
        </w:tc>
        <w:tc>
          <w:tcPr>
            <w:tcW w:w="992" w:type="dxa"/>
            <w:vAlign w:val="center"/>
          </w:tcPr>
          <w:p>
            <w:pPr>
              <w:widowControl/>
              <w:jc w:val="center"/>
              <w:rPr>
                <w:rFonts w:ascii="宋体" w:hAnsi="宋体" w:cs="宋体"/>
                <w:strike/>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restart"/>
            <w:vAlign w:val="center"/>
          </w:tcPr>
          <w:p>
            <w:pPr>
              <w:jc w:val="center"/>
              <w:rPr>
                <w:rFonts w:ascii="宋体" w:hAnsi="宋体" w:cs="宋体"/>
                <w:szCs w:val="21"/>
              </w:rPr>
            </w:pPr>
            <w:r>
              <w:rPr>
                <w:rFonts w:hint="eastAsia" w:ascii="宋体" w:hAnsi="宋体" w:cs="宋体"/>
                <w:szCs w:val="21"/>
              </w:rPr>
              <w:t>三、体系整合</w:t>
            </w:r>
          </w:p>
          <w:p>
            <w:pPr>
              <w:jc w:val="center"/>
              <w:rPr>
                <w:rFonts w:ascii="宋体" w:hAnsi="宋体" w:cs="宋体"/>
                <w:szCs w:val="21"/>
              </w:rPr>
            </w:pPr>
            <w:r>
              <w:rPr>
                <w:rFonts w:hint="eastAsia" w:ascii="宋体" w:hAnsi="宋体" w:cs="宋体"/>
                <w:szCs w:val="21"/>
              </w:rPr>
              <w:t>（30分）</w:t>
            </w: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（一）建立防治结合、分工协作、优势互补、上下联动的慢性病综合防治体系。（15分）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1.建立完善慢性病防控服务体系和分工明确、上下联动的工作机制。（8分）</w:t>
            </w:r>
          </w:p>
        </w:tc>
        <w:tc>
          <w:tcPr>
            <w:tcW w:w="4991" w:type="dxa"/>
            <w:vAlign w:val="center"/>
          </w:tcPr>
          <w:p>
            <w:pPr>
              <w:rPr>
                <w:rFonts w:ascii="宋体" w:hAnsi="宋体" w:cs="宋体"/>
                <w:szCs w:val="21"/>
              </w:rPr>
            </w:pPr>
            <w:r>
              <w:rPr>
                <w:rFonts w:hint="eastAsia" w:ascii="宋体" w:hAnsi="宋体" w:cs="宋体"/>
                <w:szCs w:val="21"/>
              </w:rPr>
              <w:t>（1）辖区卫生健康行政部门制订实施慢性病防控服务体系建设的方案，4分；其余0分。</w:t>
            </w:r>
          </w:p>
          <w:p>
            <w:pPr>
              <w:rPr>
                <w:rFonts w:ascii="宋体" w:hAnsi="宋体" w:cs="宋体"/>
                <w:szCs w:val="21"/>
              </w:rPr>
            </w:pPr>
            <w:r>
              <w:rPr>
                <w:rFonts w:hint="eastAsia" w:ascii="宋体" w:hAnsi="宋体" w:cs="宋体"/>
                <w:szCs w:val="21"/>
              </w:rPr>
              <w:t>（2）明确专业公共卫生机构、医院和基层医疗卫生机构职责，4分；其余0分。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2.建立完善信息共享、互联互通等的工作机制，推进慢性病防、治、管的整合。（7分）</w:t>
            </w:r>
          </w:p>
        </w:tc>
        <w:tc>
          <w:tcPr>
            <w:tcW w:w="4991" w:type="dxa"/>
            <w:vAlign w:val="center"/>
          </w:tcPr>
          <w:p>
            <w:pPr>
              <w:rPr>
                <w:rFonts w:ascii="宋体" w:hAnsi="宋体" w:cs="宋体"/>
                <w:szCs w:val="21"/>
              </w:rPr>
            </w:pPr>
            <w:r>
              <w:rPr>
                <w:rFonts w:hint="eastAsia" w:ascii="宋体" w:hAnsi="宋体" w:cs="宋体"/>
                <w:szCs w:val="21"/>
              </w:rPr>
              <w:t>（1）卫生健康行政部门负责督导慢性病防控服务体系的有效运行，2分；其余0分。</w:t>
            </w:r>
          </w:p>
          <w:p>
            <w:pPr>
              <w:rPr>
                <w:rFonts w:ascii="宋体" w:hAnsi="宋体" w:cs="宋体"/>
                <w:szCs w:val="21"/>
              </w:rPr>
            </w:pPr>
            <w:r>
              <w:rPr>
                <w:rFonts w:hint="eastAsia" w:ascii="宋体" w:hAnsi="宋体" w:cs="宋体"/>
                <w:szCs w:val="21"/>
              </w:rPr>
              <w:t>（2）建立完善慢性病防控服务体系的运行、质控、绩效评价机制，3分；其余0分。</w:t>
            </w:r>
          </w:p>
          <w:p>
            <w:pPr>
              <w:rPr>
                <w:rFonts w:ascii="宋体" w:hAnsi="宋体" w:cs="宋体"/>
                <w:szCs w:val="21"/>
              </w:rPr>
            </w:pPr>
            <w:r>
              <w:rPr>
                <w:rFonts w:hint="eastAsia" w:ascii="宋体" w:hAnsi="宋体" w:cs="宋体"/>
                <w:szCs w:val="21"/>
              </w:rPr>
              <w:t>（3）疾控、医院对基层医疗卫生机构进行的技术指导和对口支援，建立有效的合作关系，2分；其余0分。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查看相关的制度及信息平台,查看防、治、管的情况，查阅相关的文件以及考核兑现情况。</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（二）加强慢性病防控队伍建设。（15分）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1.辖区疾病预防控制机构按职能有独立的慢性病防控科室，配备专职人员。（5分）</w:t>
            </w:r>
          </w:p>
        </w:tc>
        <w:tc>
          <w:tcPr>
            <w:tcW w:w="4991" w:type="dxa"/>
            <w:vAlign w:val="center"/>
          </w:tcPr>
          <w:p>
            <w:pPr>
              <w:rPr>
                <w:rFonts w:ascii="宋体" w:hAnsi="宋体" w:cs="宋体"/>
                <w:szCs w:val="21"/>
              </w:rPr>
            </w:pPr>
            <w:r>
              <w:rPr>
                <w:rFonts w:hint="eastAsia" w:ascii="宋体" w:hAnsi="宋体" w:cs="宋体"/>
                <w:szCs w:val="21"/>
              </w:rPr>
              <w:t>（1）疾病预防控制机构有独立的慢性病防控科室，2分；其余0分。</w:t>
            </w:r>
          </w:p>
          <w:p>
            <w:pPr>
              <w:rPr>
                <w:rFonts w:ascii="宋体" w:hAnsi="宋体" w:cs="宋体"/>
                <w:szCs w:val="21"/>
              </w:rPr>
            </w:pPr>
            <w:r>
              <w:rPr>
                <w:rFonts w:hint="eastAsia" w:ascii="宋体" w:hAnsi="宋体" w:cs="宋体"/>
                <w:szCs w:val="21"/>
              </w:rPr>
              <w:t>（2）专职人员占本机构专业人员总数的比例≥10%，2分；5-10%，1分；5%以下0分。</w:t>
            </w:r>
          </w:p>
          <w:p>
            <w:pPr>
              <w:rPr>
                <w:rFonts w:ascii="宋体" w:hAnsi="宋体" w:cs="宋体"/>
                <w:szCs w:val="21"/>
              </w:rPr>
            </w:pPr>
            <w:r>
              <w:rPr>
                <w:rFonts w:hint="eastAsia" w:ascii="宋体" w:hAnsi="宋体" w:cs="宋体"/>
                <w:szCs w:val="21"/>
              </w:rPr>
              <w:t>（3）每年接受上级专业培训不少于2次，1分；其余0分。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2.二级以上医院配备公共卫生专业人员，履行相应的公共卫生职责。（5分）</w:t>
            </w:r>
          </w:p>
        </w:tc>
        <w:tc>
          <w:tcPr>
            <w:tcW w:w="4991" w:type="dxa"/>
            <w:vAlign w:val="center"/>
          </w:tcPr>
          <w:p>
            <w:pPr>
              <w:rPr>
                <w:rFonts w:ascii="宋体" w:hAnsi="宋体" w:cs="宋体"/>
                <w:szCs w:val="21"/>
              </w:rPr>
            </w:pPr>
            <w:r>
              <w:rPr>
                <w:rFonts w:hint="eastAsia" w:ascii="宋体" w:hAnsi="宋体" w:cs="宋体"/>
                <w:szCs w:val="21"/>
              </w:rPr>
              <w:t>（1）二级以上医院有承担疾病预防控制工作的部门，2分；其余0分。</w:t>
            </w:r>
          </w:p>
          <w:p>
            <w:pPr>
              <w:rPr>
                <w:rFonts w:ascii="宋体" w:hAnsi="宋体" w:cs="宋体"/>
                <w:szCs w:val="21"/>
              </w:rPr>
            </w:pPr>
            <w:r>
              <w:rPr>
                <w:rFonts w:hint="eastAsia" w:ascii="宋体" w:hAnsi="宋体" w:cs="宋体"/>
                <w:szCs w:val="21"/>
              </w:rPr>
              <w:t>（2）二级以上医院有专职的公共卫生人员承担慢性病防控工作，2分；其余0分。</w:t>
            </w:r>
          </w:p>
          <w:p>
            <w:pPr>
              <w:rPr>
                <w:rFonts w:ascii="宋体" w:hAnsi="宋体" w:cs="宋体"/>
                <w:szCs w:val="21"/>
              </w:rPr>
            </w:pPr>
            <w:r>
              <w:rPr>
                <w:rFonts w:hint="eastAsia" w:ascii="宋体" w:hAnsi="宋体" w:cs="宋体"/>
                <w:szCs w:val="21"/>
              </w:rPr>
              <w:t>（3）二级以上医院每年组织对辖区基层医疗机构的慢病专业培训不少于2次，1分；其余0分。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3.基层医疗卫生机构加强公共卫生服务能力建设，承担所在区域慢性病防控工作。（5分）</w:t>
            </w:r>
          </w:p>
        </w:tc>
        <w:tc>
          <w:tcPr>
            <w:tcW w:w="4991" w:type="dxa"/>
            <w:vAlign w:val="center"/>
          </w:tcPr>
          <w:p>
            <w:pPr>
              <w:rPr>
                <w:rFonts w:ascii="宋体" w:hAnsi="宋体" w:cs="宋体"/>
                <w:szCs w:val="21"/>
              </w:rPr>
            </w:pPr>
            <w:r>
              <w:rPr>
                <w:rFonts w:hint="eastAsia" w:ascii="宋体" w:hAnsi="宋体" w:cs="宋体"/>
                <w:szCs w:val="21"/>
              </w:rPr>
              <w:t>（1）基层医疗机构设有单独的科室负责慢性病防控工作，1分；其余0分。</w:t>
            </w:r>
          </w:p>
          <w:p>
            <w:pPr>
              <w:rPr>
                <w:rFonts w:ascii="宋体" w:hAnsi="宋体" w:cs="宋体"/>
                <w:szCs w:val="21"/>
              </w:rPr>
            </w:pPr>
            <w:r>
              <w:rPr>
                <w:rFonts w:hint="eastAsia" w:ascii="宋体" w:hAnsi="宋体" w:cs="宋体"/>
                <w:szCs w:val="21"/>
              </w:rPr>
              <w:t>（2）基层医疗机构有专职的公共卫生人员承担慢性病防控工作，2分；其余0分。</w:t>
            </w:r>
          </w:p>
          <w:p>
            <w:pPr>
              <w:rPr>
                <w:rFonts w:ascii="宋体" w:hAnsi="宋体" w:cs="宋体"/>
                <w:szCs w:val="21"/>
              </w:rPr>
            </w:pPr>
            <w:r>
              <w:rPr>
                <w:rFonts w:hint="eastAsia" w:ascii="宋体" w:hAnsi="宋体" w:cs="宋体"/>
                <w:szCs w:val="21"/>
              </w:rPr>
              <w:t>（3）基层医疗机构每年接受上级培训不少于4次，1分；其余0分。</w:t>
            </w:r>
          </w:p>
          <w:p>
            <w:pPr>
              <w:rPr>
                <w:rFonts w:ascii="宋体" w:hAnsi="宋体" w:cs="宋体"/>
                <w:szCs w:val="21"/>
              </w:rPr>
            </w:pPr>
            <w:r>
              <w:rPr>
                <w:rFonts w:hint="eastAsia" w:ascii="宋体" w:hAnsi="宋体" w:cs="宋体"/>
                <w:szCs w:val="21"/>
              </w:rPr>
              <w:t>（4）基层医疗机构每年组织对村医或社区卫生服务站医护人员的培训不少于2次，1分；其余0分。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restart"/>
            <w:vAlign w:val="center"/>
          </w:tcPr>
          <w:p>
            <w:pPr>
              <w:jc w:val="center"/>
              <w:rPr>
                <w:rFonts w:ascii="宋体" w:hAnsi="宋体" w:cs="宋体"/>
                <w:szCs w:val="21"/>
              </w:rPr>
            </w:pPr>
            <w:r>
              <w:rPr>
                <w:rFonts w:hint="eastAsia" w:ascii="宋体" w:hAnsi="宋体" w:cs="宋体"/>
                <w:szCs w:val="21"/>
              </w:rPr>
              <w:t>四、健康教育与健康促进</w:t>
            </w:r>
          </w:p>
          <w:p>
            <w:pPr>
              <w:jc w:val="center"/>
              <w:rPr>
                <w:rFonts w:ascii="宋体" w:hAnsi="宋体" w:cs="宋体"/>
                <w:szCs w:val="21"/>
              </w:rPr>
            </w:pPr>
            <w:r>
              <w:rPr>
                <w:rFonts w:hint="eastAsia" w:ascii="宋体" w:hAnsi="宋体" w:cs="宋体"/>
                <w:szCs w:val="21"/>
              </w:rPr>
              <w:t>（28分）</w:t>
            </w: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（一）通过多种渠道积极开展慢性病防治全民健康教育。（10分）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1.广泛开展健康教育，定期传播慢性病防治和健康素养知识和技能。（2分）</w:t>
            </w:r>
          </w:p>
        </w:tc>
        <w:tc>
          <w:tcPr>
            <w:tcW w:w="4991" w:type="dxa"/>
            <w:vAlign w:val="center"/>
          </w:tcPr>
          <w:p>
            <w:pPr>
              <w:rPr>
                <w:rFonts w:ascii="宋体" w:hAnsi="宋体" w:cs="宋体"/>
                <w:szCs w:val="21"/>
              </w:rPr>
            </w:pPr>
            <w:r>
              <w:rPr>
                <w:rFonts w:hint="eastAsia" w:ascii="宋体" w:hAnsi="宋体" w:cs="宋体"/>
                <w:szCs w:val="21"/>
              </w:rPr>
              <w:t>（1）利用社会主流媒体和互联网等新媒体广泛开展慢性病防治和健康教育，每月不少于2次，2分；其余0分。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strike/>
                <w:kern w:val="0"/>
                <w:szCs w:val="21"/>
              </w:rPr>
            </w:pPr>
            <w:r>
              <w:rPr>
                <w:rFonts w:hint="eastAsia" w:ascii="宋体" w:hAnsi="宋体" w:cs="宋体"/>
                <w:kern w:val="0"/>
                <w:szCs w:val="21"/>
              </w:rPr>
              <w:t>爱卫办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宣传部</w:t>
            </w:r>
          </w:p>
          <w:p>
            <w:pPr>
              <w:widowControl/>
              <w:jc w:val="center"/>
              <w:rPr>
                <w:rFonts w:ascii="宋体" w:hAnsi="宋体" w:cs="宋体"/>
                <w:kern w:val="0"/>
                <w:szCs w:val="21"/>
              </w:rPr>
            </w:pPr>
            <w:r>
              <w:rPr>
                <w:rFonts w:hint="eastAsia" w:ascii="宋体" w:hAnsi="宋体" w:cs="宋体"/>
                <w:kern w:val="0"/>
                <w:szCs w:val="21"/>
              </w:rPr>
              <w:t>融媒体中心</w:t>
            </w:r>
          </w:p>
        </w:tc>
        <w:tc>
          <w:tcPr>
            <w:tcW w:w="992" w:type="dxa"/>
            <w:vAlign w:val="center"/>
          </w:tcPr>
          <w:p>
            <w:pPr>
              <w:widowControl/>
              <w:jc w:val="center"/>
              <w:rPr>
                <w:rFonts w:ascii="宋体" w:hAnsi="宋体" w:cs="宋体"/>
                <w:strike/>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strike/>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2.开展社会性大型健康日活动，扩大传播慢性病防治和慢病健康素养知识和技能的范围。（2分）</w:t>
            </w:r>
          </w:p>
        </w:tc>
        <w:tc>
          <w:tcPr>
            <w:tcW w:w="4991" w:type="dxa"/>
            <w:vAlign w:val="center"/>
          </w:tcPr>
          <w:p>
            <w:pPr>
              <w:rPr>
                <w:rFonts w:ascii="宋体" w:hAnsi="宋体" w:cs="宋体"/>
                <w:szCs w:val="21"/>
              </w:rPr>
            </w:pPr>
            <w:r>
              <w:rPr>
                <w:rFonts w:hint="eastAsia" w:ascii="宋体" w:hAnsi="宋体" w:cs="宋体"/>
                <w:szCs w:val="21"/>
              </w:rPr>
              <w:t>辖区每年至少开展4次健康主题日大型宣传活动，应包括肿瘤宣传周、全国高血压日、世界糖尿病日、全民健康生活方式日、爱牙日、世界脑卒中日等，2分；其余0分。</w:t>
            </w:r>
            <w:r>
              <w:rPr>
                <w:rFonts w:hint="eastAsia" w:ascii="宋体" w:hAnsi="宋体" w:cs="宋体"/>
                <w:szCs w:val="21"/>
              </w:rPr>
              <w:br w:type="textWrapping"/>
            </w:r>
            <w:r>
              <w:rPr>
                <w:rFonts w:hint="eastAsia" w:ascii="宋体" w:hAnsi="宋体" w:cs="宋体"/>
                <w:szCs w:val="21"/>
              </w:rPr>
              <w:t>大型活动是指参与人数超过300人(含分会场)。</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hint="eastAsia" w:ascii="宋体" w:hAnsi="宋体" w:cs="宋体"/>
                <w:kern w:val="0"/>
                <w:szCs w:val="21"/>
              </w:rPr>
            </w:pPr>
            <w:r>
              <w:rPr>
                <w:rFonts w:hint="eastAsia" w:ascii="宋体" w:hAnsi="宋体" w:cs="宋体"/>
                <w:kern w:val="0"/>
                <w:szCs w:val="21"/>
              </w:rPr>
              <w:t>卫健委</w:t>
            </w:r>
          </w:p>
          <w:p>
            <w:pPr>
              <w:widowControl/>
              <w:jc w:val="center"/>
              <w:rPr>
                <w:rFonts w:ascii="宋体" w:hAnsi="宋体" w:cs="宋体"/>
                <w:strike/>
                <w:kern w:val="0"/>
                <w:szCs w:val="21"/>
              </w:rPr>
            </w:pPr>
            <w:r>
              <w:rPr>
                <w:rFonts w:hint="eastAsia" w:ascii="宋体" w:hAnsi="宋体" w:cs="宋体"/>
                <w:kern w:val="0"/>
                <w:szCs w:val="21"/>
              </w:rPr>
              <w:t>爱卫办</w:t>
            </w:r>
          </w:p>
        </w:tc>
        <w:tc>
          <w:tcPr>
            <w:tcW w:w="1355" w:type="dxa"/>
            <w:vAlign w:val="center"/>
          </w:tcPr>
          <w:p>
            <w:pPr>
              <w:widowControl/>
              <w:jc w:val="center"/>
              <w:rPr>
                <w:rFonts w:hint="eastAsia"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r>
              <w:rPr>
                <w:rFonts w:hint="eastAsia" w:ascii="宋体" w:hAnsi="宋体" w:cs="宋体"/>
                <w:kern w:val="0"/>
                <w:szCs w:val="21"/>
              </w:rPr>
              <w:t>爱卫办</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3.各社区设有健康教育宣传阵地，向居民普及针对性强、社会化、生活化的慢性病防控知识和技能。（3分）</w:t>
            </w:r>
          </w:p>
        </w:tc>
        <w:tc>
          <w:tcPr>
            <w:tcW w:w="4991" w:type="dxa"/>
            <w:vAlign w:val="center"/>
          </w:tcPr>
          <w:p>
            <w:pPr>
              <w:rPr>
                <w:rFonts w:ascii="宋体" w:hAnsi="宋体" w:cs="宋体"/>
                <w:szCs w:val="21"/>
              </w:rPr>
            </w:pPr>
            <w:r>
              <w:rPr>
                <w:rFonts w:hint="eastAsia" w:ascii="宋体" w:hAnsi="宋体" w:cs="宋体"/>
                <w:szCs w:val="21"/>
              </w:rPr>
              <w:t>（1）健康教育活动室在当地社区的覆盖率达100%，1分；其余0分。</w:t>
            </w:r>
            <w:r>
              <w:rPr>
                <w:rFonts w:hint="eastAsia" w:ascii="宋体" w:hAnsi="宋体" w:cs="宋体"/>
                <w:szCs w:val="21"/>
              </w:rPr>
              <w:br w:type="textWrapping"/>
            </w:r>
            <w:r>
              <w:rPr>
                <w:rFonts w:hint="eastAsia" w:ascii="宋体" w:hAnsi="宋体" w:cs="宋体"/>
                <w:szCs w:val="21"/>
              </w:rPr>
              <w:t>（2）健康宣传栏社区覆盖率≥90%，内容至少2个月更新1次，1分；其余0分。</w:t>
            </w:r>
            <w:r>
              <w:rPr>
                <w:rFonts w:hint="eastAsia" w:ascii="宋体" w:hAnsi="宋体" w:cs="宋体"/>
                <w:szCs w:val="21"/>
              </w:rPr>
              <w:br w:type="textWrapping"/>
            </w:r>
            <w:r>
              <w:rPr>
                <w:rFonts w:hint="eastAsia" w:ascii="宋体" w:hAnsi="宋体" w:cs="宋体"/>
                <w:szCs w:val="21"/>
              </w:rPr>
              <w:t>（3）社区健康讲座每年≥4次，1分；其余0分。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查阅资料、现场评估。查阅活动室、健康讲座与社区宣传栏的计划或分布表；抽取2个点现场观察实际执行情况。</w:t>
            </w:r>
          </w:p>
          <w:p>
            <w:pPr>
              <w:widowControl/>
              <w:rPr>
                <w:rFonts w:ascii="宋体" w:hAnsi="宋体" w:cs="宋体"/>
                <w:kern w:val="0"/>
                <w:szCs w:val="21"/>
              </w:rPr>
            </w:pPr>
            <w:r>
              <w:rPr>
                <w:rFonts w:hint="eastAsia" w:ascii="宋体" w:hAnsi="宋体" w:cs="宋体"/>
                <w:szCs w:val="21"/>
              </w:rPr>
              <w:t>社区指村/居委会。</w:t>
            </w:r>
          </w:p>
        </w:tc>
        <w:tc>
          <w:tcPr>
            <w:tcW w:w="1124" w:type="dxa"/>
            <w:vAlign w:val="center"/>
          </w:tcPr>
          <w:p>
            <w:pPr>
              <w:widowControl/>
              <w:jc w:val="center"/>
              <w:rPr>
                <w:rFonts w:ascii="宋体" w:hAnsi="宋体" w:cs="宋体"/>
                <w:szCs w:val="21"/>
              </w:rPr>
            </w:pPr>
            <w:r>
              <w:rPr>
                <w:rFonts w:hint="eastAsia" w:ascii="宋体" w:hAnsi="宋体" w:cs="宋体"/>
                <w:kern w:val="0"/>
                <w:szCs w:val="21"/>
              </w:rPr>
              <w:t>爱卫办</w:t>
            </w:r>
          </w:p>
        </w:tc>
        <w:tc>
          <w:tcPr>
            <w:tcW w:w="1355"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rPr>
              <w:t>卫健委</w:t>
            </w:r>
          </w:p>
          <w:p>
            <w:pPr>
              <w:widowControl/>
              <w:jc w:val="center"/>
              <w:rPr>
                <w:rFonts w:ascii="宋体" w:hAnsi="宋体" w:cs="宋体"/>
                <w:kern w:val="0"/>
                <w:szCs w:val="21"/>
              </w:rPr>
            </w:pPr>
            <w:r>
              <w:rPr>
                <w:rFonts w:hint="eastAsia" w:ascii="宋体" w:hAnsi="宋体" w:cs="宋体"/>
                <w:kern w:val="0"/>
                <w:szCs w:val="21"/>
              </w:rPr>
              <w:t>各街镇</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szCs w:val="21"/>
              </w:rPr>
            </w:pPr>
            <w:r>
              <w:rPr>
                <w:rFonts w:hint="eastAsia" w:ascii="宋体" w:hAnsi="宋体" w:cs="宋体"/>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4.开展幼儿园、中小学校健康行为方式教育。（3分）</w:t>
            </w:r>
          </w:p>
        </w:tc>
        <w:tc>
          <w:tcPr>
            <w:tcW w:w="4991" w:type="dxa"/>
            <w:vAlign w:val="center"/>
          </w:tcPr>
          <w:p>
            <w:pPr>
              <w:rPr>
                <w:rFonts w:ascii="宋体" w:hAnsi="宋体" w:cs="宋体"/>
                <w:szCs w:val="21"/>
              </w:rPr>
            </w:pPr>
            <w:r>
              <w:rPr>
                <w:rFonts w:hint="eastAsia" w:ascii="宋体" w:hAnsi="宋体" w:cs="宋体"/>
                <w:szCs w:val="21"/>
              </w:rPr>
              <w:t>（1）幼儿园、中小学校开设健康教育课覆盖率达100%，1分；其余0分。</w:t>
            </w:r>
            <w:r>
              <w:rPr>
                <w:rFonts w:hint="eastAsia" w:ascii="宋体" w:hAnsi="宋体" w:cs="宋体"/>
                <w:szCs w:val="21"/>
              </w:rPr>
              <w:br w:type="textWrapping"/>
            </w:r>
            <w:r>
              <w:rPr>
                <w:rFonts w:hint="eastAsia" w:ascii="宋体" w:hAnsi="宋体" w:cs="宋体"/>
                <w:szCs w:val="21"/>
              </w:rPr>
              <w:t>（2）健康教育课包括营养均衡、口腔保健、健康体重、视力保护等内容，每学期以班级为单位，课程≥6学时，2分；低于6学时0分。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查阅资料、现场评估。查阅教育计划；查阅即课程表、教材与教参，抽取1个点现场观察实际执行情况。</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教育局</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教育局</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（二）提高居民重点慢性病核心知识知晓率和居民健康素养水平。</w:t>
            </w:r>
          </w:p>
          <w:p>
            <w:pPr>
              <w:adjustRightInd w:val="0"/>
              <w:snapToGrid w:val="0"/>
              <w:jc w:val="left"/>
              <w:rPr>
                <w:rFonts w:ascii="宋体" w:hAnsi="宋体" w:cs="宋体"/>
                <w:szCs w:val="21"/>
              </w:rPr>
            </w:pPr>
            <w:r>
              <w:rPr>
                <w:rFonts w:hint="eastAsia" w:ascii="宋体" w:hAnsi="宋体" w:cs="宋体"/>
                <w:szCs w:val="21"/>
              </w:rPr>
              <w:t>（10分）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1.提高居民重点慢性病核心知识知晓率。（6分）</w:t>
            </w:r>
          </w:p>
        </w:tc>
        <w:tc>
          <w:tcPr>
            <w:tcW w:w="4991" w:type="dxa"/>
            <w:vAlign w:val="center"/>
          </w:tcPr>
          <w:p>
            <w:pPr>
              <w:rPr>
                <w:rFonts w:ascii="宋体" w:hAnsi="宋体" w:cs="宋体"/>
                <w:szCs w:val="21"/>
              </w:rPr>
            </w:pPr>
            <w:r>
              <w:rPr>
                <w:rFonts w:hint="eastAsia" w:ascii="宋体" w:hAnsi="宋体" w:cs="宋体"/>
                <w:szCs w:val="21"/>
              </w:rPr>
              <w:t>居民重点慢性病核心知识知晓率≥60%，6分；50-60%，4分；50%以下0分。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查阅社会因素调查报告。</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宣传部</w:t>
            </w:r>
          </w:p>
          <w:p>
            <w:pPr>
              <w:widowControl/>
              <w:jc w:val="center"/>
              <w:rPr>
                <w:rFonts w:ascii="宋体" w:hAnsi="宋体" w:cs="宋体"/>
                <w:kern w:val="0"/>
                <w:szCs w:val="21"/>
              </w:rPr>
            </w:pPr>
            <w:r>
              <w:rPr>
                <w:rFonts w:hint="eastAsia" w:ascii="宋体" w:hAnsi="宋体" w:cs="宋体"/>
                <w:kern w:val="0"/>
                <w:szCs w:val="21"/>
              </w:rPr>
              <w:t>融媒体中心</w:t>
            </w:r>
          </w:p>
          <w:p>
            <w:pPr>
              <w:widowControl/>
              <w:jc w:val="center"/>
              <w:rPr>
                <w:rFonts w:ascii="宋体" w:hAnsi="宋体" w:cs="宋体"/>
                <w:kern w:val="0"/>
                <w:szCs w:val="21"/>
              </w:rPr>
            </w:pPr>
            <w:r>
              <w:rPr>
                <w:rFonts w:hint="eastAsia" w:ascii="宋体" w:hAnsi="宋体" w:cs="宋体"/>
                <w:kern w:val="0"/>
                <w:szCs w:val="21"/>
              </w:rPr>
              <w:t>交通局</w:t>
            </w:r>
          </w:p>
          <w:p>
            <w:pPr>
              <w:widowControl/>
              <w:jc w:val="center"/>
              <w:rPr>
                <w:rFonts w:ascii="宋体" w:hAnsi="宋体" w:cs="宋体"/>
                <w:kern w:val="0"/>
                <w:szCs w:val="21"/>
              </w:rPr>
            </w:pPr>
            <w:r>
              <w:rPr>
                <w:rFonts w:hint="eastAsia" w:ascii="宋体" w:hAnsi="宋体" w:cs="宋体"/>
                <w:kern w:val="0"/>
                <w:szCs w:val="21"/>
              </w:rPr>
              <w:t>教育局</w:t>
            </w:r>
          </w:p>
          <w:p>
            <w:pPr>
              <w:widowControl/>
              <w:jc w:val="center"/>
              <w:rPr>
                <w:rFonts w:ascii="宋体" w:hAnsi="宋体" w:cs="宋体"/>
                <w:kern w:val="0"/>
                <w:szCs w:val="21"/>
              </w:rPr>
            </w:pPr>
            <w:r>
              <w:rPr>
                <w:rFonts w:hint="eastAsia" w:ascii="宋体" w:hAnsi="宋体" w:cs="宋体"/>
                <w:kern w:val="0"/>
                <w:szCs w:val="21"/>
              </w:rPr>
              <w:t>各街镇</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p>
            <w:pPr>
              <w:widowControl/>
              <w:jc w:val="center"/>
              <w:rPr>
                <w:rFonts w:ascii="宋体" w:hAnsi="宋体" w:cs="宋体"/>
                <w:kern w:val="0"/>
                <w:szCs w:val="21"/>
              </w:rPr>
            </w:pPr>
          </w:p>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2.提高居民健康素养水平。（4分）</w:t>
            </w:r>
          </w:p>
        </w:tc>
        <w:tc>
          <w:tcPr>
            <w:tcW w:w="4991" w:type="dxa"/>
            <w:vAlign w:val="center"/>
          </w:tcPr>
          <w:p>
            <w:pPr>
              <w:rPr>
                <w:rFonts w:ascii="宋体" w:hAnsi="宋体" w:cs="宋体"/>
                <w:szCs w:val="21"/>
              </w:rPr>
            </w:pPr>
            <w:r>
              <w:rPr>
                <w:rFonts w:hint="eastAsia" w:ascii="宋体" w:hAnsi="宋体" w:cs="宋体"/>
                <w:szCs w:val="21"/>
              </w:rPr>
              <w:t>居民健康素养水平≥20%，4分；10-20%，3分；10%以下0分。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爱卫办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（三）发挥社会团体和群众组织在慢性病防控中的积极作用。</w:t>
            </w:r>
          </w:p>
          <w:p>
            <w:pPr>
              <w:adjustRightInd w:val="0"/>
              <w:snapToGrid w:val="0"/>
              <w:jc w:val="left"/>
              <w:rPr>
                <w:rFonts w:ascii="宋体" w:hAnsi="宋体" w:cs="宋体"/>
                <w:szCs w:val="21"/>
              </w:rPr>
            </w:pPr>
            <w:r>
              <w:rPr>
                <w:rFonts w:hint="eastAsia" w:ascii="宋体" w:hAnsi="宋体" w:cs="宋体"/>
                <w:szCs w:val="21"/>
              </w:rPr>
              <w:t>（8分）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1.辖区开展群众性健身运动。（2分）</w:t>
            </w:r>
          </w:p>
        </w:tc>
        <w:tc>
          <w:tcPr>
            <w:tcW w:w="4991" w:type="dxa"/>
            <w:vAlign w:val="center"/>
          </w:tcPr>
          <w:p>
            <w:pPr>
              <w:rPr>
                <w:rFonts w:ascii="宋体" w:hAnsi="宋体" w:cs="宋体"/>
                <w:szCs w:val="21"/>
              </w:rPr>
            </w:pPr>
            <w:r>
              <w:rPr>
                <w:rFonts w:hint="eastAsia" w:ascii="宋体" w:hAnsi="宋体" w:cs="宋体"/>
                <w:szCs w:val="21"/>
              </w:rPr>
              <w:t>（1）有5个及以上的群众健身团体，1分；其余0分。</w:t>
            </w:r>
          </w:p>
          <w:p>
            <w:pPr>
              <w:rPr>
                <w:rFonts w:ascii="宋体" w:hAnsi="宋体" w:cs="宋体"/>
                <w:szCs w:val="21"/>
              </w:rPr>
            </w:pPr>
            <w:r>
              <w:rPr>
                <w:rFonts w:hint="eastAsia" w:ascii="宋体" w:hAnsi="宋体" w:cs="宋体"/>
                <w:szCs w:val="21"/>
              </w:rPr>
              <w:t>（2）配有健康指导员和志愿者，1分；其余0分。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文旅局</w:t>
            </w:r>
          </w:p>
        </w:tc>
        <w:tc>
          <w:tcPr>
            <w:tcW w:w="1355" w:type="dxa"/>
            <w:vAlign w:val="center"/>
          </w:tcPr>
          <w:p>
            <w:pPr>
              <w:widowControl/>
              <w:jc w:val="center"/>
              <w:rPr>
                <w:rFonts w:ascii="宋体" w:hAnsi="宋体" w:cs="宋体"/>
                <w:strike/>
                <w:kern w:val="0"/>
                <w:szCs w:val="21"/>
              </w:rPr>
            </w:pPr>
            <w:r>
              <w:rPr>
                <w:rFonts w:hint="eastAsia" w:ascii="宋体" w:hAnsi="宋体" w:cs="宋体"/>
                <w:kern w:val="0"/>
                <w:szCs w:val="21"/>
              </w:rPr>
              <w:t>文旅局</w:t>
            </w:r>
          </w:p>
          <w:p>
            <w:pPr>
              <w:widowControl/>
              <w:jc w:val="center"/>
              <w:rPr>
                <w:rFonts w:ascii="宋体" w:hAnsi="宋体" w:cs="宋体"/>
                <w:strike/>
                <w:kern w:val="0"/>
                <w:szCs w:val="21"/>
              </w:rPr>
            </w:pPr>
          </w:p>
        </w:tc>
        <w:tc>
          <w:tcPr>
            <w:tcW w:w="992" w:type="dxa"/>
            <w:vAlign w:val="center"/>
          </w:tcPr>
          <w:p>
            <w:pPr>
              <w:widowControl/>
              <w:jc w:val="center"/>
              <w:rPr>
                <w:rFonts w:ascii="宋体" w:hAnsi="宋体" w:cs="宋体"/>
                <w:kern w:val="0"/>
                <w:szCs w:val="21"/>
              </w:rPr>
            </w:pPr>
            <w:r>
              <w:rPr>
                <w:rFonts w:ascii="宋体" w:hAnsi="宋体" w:cs="宋体"/>
                <w:kern w:val="0"/>
                <w:szCs w:val="21"/>
              </w:rPr>
              <w:t>各成员单位</w:t>
            </w:r>
          </w:p>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2.每年至少开展1次多部门组织的集体性健身活动。（2分）</w:t>
            </w:r>
          </w:p>
        </w:tc>
        <w:tc>
          <w:tcPr>
            <w:tcW w:w="4991" w:type="dxa"/>
            <w:vAlign w:val="center"/>
          </w:tcPr>
          <w:p>
            <w:pPr>
              <w:rPr>
                <w:rFonts w:ascii="宋体" w:hAnsi="宋体" w:cs="宋体"/>
                <w:szCs w:val="21"/>
              </w:rPr>
            </w:pPr>
            <w:r>
              <w:rPr>
                <w:rFonts w:hint="eastAsia" w:ascii="宋体" w:hAnsi="宋体" w:cs="宋体"/>
                <w:szCs w:val="21"/>
              </w:rPr>
              <w:t>定期开展政府支持、企事业单位承担参与并积极支持的健身活动，每年≥1次，2分；其余0分。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r>
              <w:rPr>
                <w:rFonts w:hint="eastAsia" w:ascii="宋体" w:hAnsi="宋体" w:cs="宋体"/>
                <w:kern w:val="0"/>
                <w:szCs w:val="21"/>
              </w:rPr>
              <w:br w:type="textWrapping"/>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文旅局</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文旅局</w:t>
            </w:r>
          </w:p>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p>
            <w:pPr>
              <w:widowControl/>
              <w:jc w:val="center"/>
              <w:rPr>
                <w:rFonts w:ascii="宋体" w:hAnsi="宋体" w:cs="宋体"/>
                <w:strike/>
                <w:kern w:val="0"/>
                <w:szCs w:val="21"/>
              </w:rPr>
            </w:pPr>
          </w:p>
        </w:tc>
        <w:tc>
          <w:tcPr>
            <w:tcW w:w="954" w:type="dxa"/>
            <w:vAlign w:val="center"/>
          </w:tcPr>
          <w:p>
            <w:pPr>
              <w:widowControl/>
              <w:jc w:val="center"/>
              <w:rPr>
                <w:rFonts w:ascii="宋体" w:hAnsi="宋体" w:cs="宋体"/>
                <w:strike/>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3.鼓励社区慢性病患者积极参与社区自我健康管理活动。（4分）</w:t>
            </w:r>
          </w:p>
        </w:tc>
        <w:tc>
          <w:tcPr>
            <w:tcW w:w="4991" w:type="dxa"/>
            <w:vAlign w:val="center"/>
          </w:tcPr>
          <w:p>
            <w:pPr>
              <w:rPr>
                <w:rFonts w:ascii="宋体" w:hAnsi="宋体" w:cs="宋体"/>
                <w:szCs w:val="21"/>
              </w:rPr>
            </w:pPr>
            <w:r>
              <w:rPr>
                <w:rFonts w:hint="eastAsia" w:ascii="宋体" w:hAnsi="宋体" w:cs="宋体"/>
                <w:szCs w:val="21"/>
              </w:rPr>
              <w:t>有自我健康管理小组并规范开展的社区覆盖率≥50%，4分；40-50%，2分；40%以下0分。不符合技术规范要求或每年参加人数不变者分数减半。</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p>
            <w:pPr>
              <w:widowControl/>
              <w:rPr>
                <w:rFonts w:ascii="宋体" w:hAnsi="宋体" w:cs="宋体"/>
                <w:kern w:val="0"/>
                <w:szCs w:val="21"/>
              </w:rPr>
            </w:pPr>
            <w:r>
              <w:rPr>
                <w:rFonts w:hint="eastAsia" w:ascii="宋体" w:hAnsi="宋体" w:cs="宋体"/>
                <w:szCs w:val="21"/>
              </w:rPr>
              <w:t>社区指村/居委会。</w:t>
            </w:r>
          </w:p>
        </w:tc>
        <w:tc>
          <w:tcPr>
            <w:tcW w:w="1124" w:type="dxa"/>
            <w:vAlign w:val="center"/>
          </w:tcPr>
          <w:p>
            <w:pPr>
              <w:widowControl/>
              <w:jc w:val="center"/>
              <w:rPr>
                <w:rFonts w:ascii="宋体" w:hAnsi="宋体" w:cs="宋体"/>
                <w:szCs w:val="21"/>
              </w:rPr>
            </w:pPr>
            <w:r>
              <w:rPr>
                <w:rFonts w:hint="eastAsia" w:ascii="宋体" w:hAnsi="宋体" w:cs="宋体"/>
                <w:szCs w:val="21"/>
              </w:rPr>
              <w:t>卫健委</w:t>
            </w:r>
          </w:p>
        </w:tc>
        <w:tc>
          <w:tcPr>
            <w:tcW w:w="1355" w:type="dxa"/>
            <w:vAlign w:val="center"/>
          </w:tcPr>
          <w:p>
            <w:pPr>
              <w:widowControl/>
              <w:jc w:val="center"/>
              <w:rPr>
                <w:rFonts w:ascii="宋体" w:hAnsi="宋体" w:cs="宋体"/>
                <w:szCs w:val="21"/>
              </w:rPr>
            </w:pPr>
            <w:r>
              <w:rPr>
                <w:rFonts w:hint="eastAsia" w:ascii="宋体" w:hAnsi="宋体" w:cs="宋体"/>
                <w:szCs w:val="21"/>
              </w:rPr>
              <w:t>卫健委</w:t>
            </w:r>
          </w:p>
        </w:tc>
        <w:tc>
          <w:tcPr>
            <w:tcW w:w="992" w:type="dxa"/>
            <w:vAlign w:val="center"/>
          </w:tcPr>
          <w:p>
            <w:pPr>
              <w:widowControl/>
              <w:rPr>
                <w:rFonts w:ascii="宋体" w:hAnsi="宋体" w:cs="宋体"/>
                <w:szCs w:val="21"/>
              </w:rPr>
            </w:pPr>
          </w:p>
          <w:p>
            <w:pPr>
              <w:widowControl/>
              <w:rPr>
                <w:rFonts w:ascii="宋体" w:hAnsi="宋体" w:cs="宋体"/>
                <w:szCs w:val="21"/>
              </w:rPr>
            </w:pPr>
            <w:r>
              <w:rPr>
                <w:rFonts w:hint="eastAsia" w:ascii="宋体" w:hAnsi="宋体" w:cs="宋体"/>
                <w:szCs w:val="21"/>
              </w:rPr>
              <w:t>各街镇</w:t>
            </w:r>
            <w:r>
              <w:rPr>
                <w:rFonts w:ascii="宋体" w:hAnsi="宋体" w:cs="宋体"/>
                <w:szCs w:val="21"/>
              </w:rPr>
              <w:t xml:space="preserve"> </w:t>
            </w:r>
          </w:p>
          <w:p>
            <w:pPr>
              <w:widowControl/>
              <w:rPr>
                <w:rFonts w:ascii="宋体" w:hAnsi="宋体" w:cs="宋体"/>
                <w:szCs w:val="21"/>
              </w:rPr>
            </w:pPr>
          </w:p>
          <w:p>
            <w:pPr>
              <w:widowControl/>
              <w:rPr>
                <w:rFonts w:ascii="宋体" w:hAnsi="宋体" w:cs="宋体"/>
                <w:szCs w:val="21"/>
              </w:rPr>
            </w:pPr>
          </w:p>
        </w:tc>
        <w:tc>
          <w:tcPr>
            <w:tcW w:w="954" w:type="dxa"/>
            <w:vAlign w:val="center"/>
          </w:tcPr>
          <w:p>
            <w:pPr>
              <w:widowControl/>
              <w:rPr>
                <w:rFonts w:ascii="宋体" w:hAnsi="宋体" w:cs="宋体"/>
                <w:szCs w:val="21"/>
              </w:rPr>
            </w:pPr>
            <w:r>
              <w:rPr>
                <w:rFonts w:hint="eastAsia" w:ascii="宋体" w:hAnsi="宋体" w:cs="宋体"/>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995" w:type="dxa"/>
            <w:vMerge w:val="restart"/>
            <w:vAlign w:val="center"/>
          </w:tcPr>
          <w:p>
            <w:pPr>
              <w:jc w:val="center"/>
              <w:rPr>
                <w:rFonts w:ascii="宋体" w:hAnsi="宋体" w:cs="宋体"/>
                <w:szCs w:val="21"/>
              </w:rPr>
            </w:pPr>
            <w:r>
              <w:rPr>
                <w:rFonts w:hint="eastAsia" w:ascii="宋体" w:hAnsi="宋体" w:cs="宋体"/>
                <w:szCs w:val="21"/>
              </w:rPr>
              <w:t>五、慢性病全程管理</w:t>
            </w:r>
          </w:p>
          <w:p>
            <w:pPr>
              <w:jc w:val="center"/>
              <w:rPr>
                <w:rFonts w:ascii="宋体" w:hAnsi="宋体" w:cs="宋体"/>
                <w:szCs w:val="21"/>
              </w:rPr>
            </w:pPr>
            <w:r>
              <w:rPr>
                <w:rFonts w:hint="eastAsia" w:ascii="宋体" w:hAnsi="宋体" w:cs="宋体"/>
                <w:szCs w:val="21"/>
              </w:rPr>
              <w:t>（87分）</w:t>
            </w: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（一）规范健康体检，开展高危人群筛查与干预，加强癌症、心脑血管疾病等重大慢性病的早期发现与管理。</w:t>
            </w:r>
          </w:p>
          <w:p>
            <w:pPr>
              <w:adjustRightInd w:val="0"/>
              <w:snapToGrid w:val="0"/>
              <w:jc w:val="left"/>
              <w:rPr>
                <w:rFonts w:ascii="宋体" w:hAnsi="宋体" w:cs="宋体"/>
                <w:szCs w:val="21"/>
              </w:rPr>
            </w:pPr>
            <w:r>
              <w:rPr>
                <w:rFonts w:hint="eastAsia" w:ascii="宋体" w:hAnsi="宋体" w:cs="宋体"/>
                <w:szCs w:val="21"/>
              </w:rPr>
              <w:t>（20分）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1.开展学生、老年人等重点人群和职工定期健康体检和健康指导。（7分）</w:t>
            </w:r>
          </w:p>
          <w:p>
            <w:pPr>
              <w:jc w:val="center"/>
              <w:rPr>
                <w:rFonts w:ascii="宋体" w:hAnsi="宋体" w:cs="宋体"/>
                <w:kern w:val="0"/>
                <w:szCs w:val="21"/>
              </w:rPr>
            </w:pPr>
          </w:p>
        </w:tc>
        <w:tc>
          <w:tcPr>
            <w:tcW w:w="4991" w:type="dxa"/>
            <w:vAlign w:val="center"/>
          </w:tcPr>
          <w:p>
            <w:pPr>
              <w:rPr>
                <w:rFonts w:ascii="宋体" w:hAnsi="宋体" w:cs="宋体"/>
                <w:szCs w:val="21"/>
              </w:rPr>
            </w:pPr>
            <w:r>
              <w:rPr>
                <w:rFonts w:hint="eastAsia" w:ascii="宋体" w:hAnsi="宋体" w:cs="宋体"/>
                <w:szCs w:val="21"/>
              </w:rPr>
              <w:t>（1）学生健康体检率≥90%，2分；80-90%，1分；80%以下0分。</w:t>
            </w:r>
            <w:r>
              <w:rPr>
                <w:rFonts w:hint="eastAsia" w:ascii="宋体" w:hAnsi="宋体" w:cs="宋体"/>
                <w:szCs w:val="21"/>
              </w:rPr>
              <w:br w:type="textWrapping"/>
            </w:r>
            <w:r>
              <w:rPr>
                <w:rFonts w:hint="eastAsia" w:ascii="宋体" w:hAnsi="宋体" w:cs="宋体"/>
                <w:szCs w:val="21"/>
              </w:rPr>
              <w:t>（2）65岁及以上老年人健康体检率≥90%，2分；80-90%，1分；80%以下0分。</w:t>
            </w:r>
          </w:p>
          <w:p>
            <w:pPr>
              <w:rPr>
                <w:rFonts w:ascii="宋体" w:hAnsi="宋体" w:cs="宋体"/>
                <w:szCs w:val="21"/>
              </w:rPr>
            </w:pPr>
            <w:r>
              <w:rPr>
                <w:rFonts w:hint="eastAsia" w:ascii="宋体" w:hAnsi="宋体" w:cs="宋体"/>
                <w:szCs w:val="21"/>
              </w:rPr>
              <w:t>（3）每2年1次体检并开展健康指导的机关事业单位和员工数超过50人的企业的覆盖率≥50%，3分；40-50%，2分；40%以下0分。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查阅教育部门统计数据和基本公共卫生服务项目统计数据等。</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ascii="宋体" w:hAnsi="宋体" w:cs="宋体"/>
                <w:kern w:val="0"/>
                <w:szCs w:val="21"/>
              </w:rPr>
              <w:t>教育局</w:t>
            </w:r>
          </w:p>
          <w:p>
            <w:pPr>
              <w:widowControl/>
              <w:jc w:val="center"/>
              <w:rPr>
                <w:rFonts w:ascii="宋体" w:hAnsi="宋体" w:cs="宋体"/>
                <w:kern w:val="0"/>
                <w:szCs w:val="21"/>
              </w:rPr>
            </w:pPr>
            <w:r>
              <w:rPr>
                <w:rFonts w:hint="eastAsia" w:ascii="宋体" w:hAnsi="宋体" w:cs="宋体"/>
                <w:kern w:val="0"/>
                <w:szCs w:val="21"/>
              </w:rPr>
              <w:t>人社局</w:t>
            </w:r>
          </w:p>
          <w:p>
            <w:pPr>
              <w:widowControl/>
              <w:jc w:val="center"/>
              <w:rPr>
                <w:rFonts w:ascii="宋体" w:hAnsi="宋体" w:cs="宋体"/>
                <w:kern w:val="0"/>
                <w:szCs w:val="21"/>
              </w:rPr>
            </w:pPr>
            <w:r>
              <w:rPr>
                <w:rFonts w:hint="eastAsia" w:ascii="宋体" w:hAnsi="宋体" w:cs="宋体"/>
                <w:kern w:val="0"/>
                <w:szCs w:val="21"/>
              </w:rPr>
              <w:t>总工会</w:t>
            </w:r>
          </w:p>
          <w:p>
            <w:pPr>
              <w:widowControl/>
              <w:jc w:val="center"/>
              <w:rPr>
                <w:rFonts w:hint="eastAsia" w:ascii="宋体" w:hAnsi="宋体" w:cs="宋体"/>
                <w:kern w:val="0"/>
                <w:szCs w:val="21"/>
              </w:rPr>
            </w:pPr>
            <w:r>
              <w:rPr>
                <w:rFonts w:hint="eastAsia" w:ascii="宋体" w:hAnsi="宋体" w:cs="宋体"/>
                <w:kern w:val="0"/>
                <w:szCs w:val="21"/>
              </w:rPr>
              <w:t>开发区</w:t>
            </w:r>
          </w:p>
          <w:p>
            <w:pPr>
              <w:widowControl/>
              <w:jc w:val="center"/>
              <w:rPr>
                <w:rFonts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r>
              <w:rPr>
                <w:rFonts w:hint="eastAsia" w:ascii="宋体" w:hAnsi="宋体" w:cs="宋体"/>
                <w:kern w:val="0"/>
                <w:szCs w:val="21"/>
              </w:rPr>
              <w:t>各镇街</w:t>
            </w:r>
          </w:p>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2.应用推广成熟的适宜技术，早期发现诊治患者，及时纳入基本公共卫生服务管理。（13分）</w:t>
            </w:r>
          </w:p>
          <w:p>
            <w:pPr>
              <w:widowControl/>
              <w:jc w:val="center"/>
              <w:rPr>
                <w:rFonts w:ascii="宋体" w:hAnsi="宋体" w:cs="宋体"/>
                <w:kern w:val="0"/>
                <w:szCs w:val="21"/>
              </w:rPr>
            </w:pPr>
          </w:p>
        </w:tc>
        <w:tc>
          <w:tcPr>
            <w:tcW w:w="4991" w:type="dxa"/>
            <w:vAlign w:val="center"/>
          </w:tcPr>
          <w:p>
            <w:pPr>
              <w:rPr>
                <w:rFonts w:ascii="宋体" w:hAnsi="宋体" w:cs="宋体"/>
                <w:szCs w:val="21"/>
              </w:rPr>
            </w:pPr>
            <w:r>
              <w:rPr>
                <w:rFonts w:hint="eastAsia" w:ascii="宋体" w:hAnsi="宋体" w:cs="宋体"/>
                <w:szCs w:val="21"/>
              </w:rPr>
              <w:t>（1）医疗机构首诊测血压率≥90%，2分；90%以下0分。</w:t>
            </w:r>
          </w:p>
          <w:p>
            <w:pPr>
              <w:rPr>
                <w:rFonts w:ascii="宋体" w:hAnsi="宋体" w:cs="宋体"/>
                <w:szCs w:val="21"/>
              </w:rPr>
            </w:pPr>
            <w:r>
              <w:rPr>
                <w:rFonts w:hint="eastAsia" w:ascii="宋体" w:hAnsi="宋体" w:cs="宋体"/>
                <w:szCs w:val="21"/>
              </w:rPr>
              <w:t>（2）开展心脑血管疾病、重点癌症、糖尿病、慢性阻塞性肺病等重大慢性病的筛查和早期诊断，每1项1分，满分4分。</w:t>
            </w:r>
          </w:p>
          <w:p>
            <w:pPr>
              <w:rPr>
                <w:rFonts w:ascii="宋体" w:hAnsi="宋体" w:cs="宋体"/>
                <w:szCs w:val="21"/>
              </w:rPr>
            </w:pPr>
            <w:r>
              <w:rPr>
                <w:rFonts w:hint="eastAsia" w:ascii="宋体" w:hAnsi="宋体" w:cs="宋体"/>
                <w:szCs w:val="21"/>
              </w:rPr>
              <w:t>（3）具备血糖、血脂、简易肺功能测定和大便隐血检测等4种技术并提供服务的社区卫生服务中心和乡镇卫生院的覆盖率≥50%，3分；40-50%，1分；40%以下0分。</w:t>
            </w:r>
          </w:p>
          <w:p>
            <w:pPr>
              <w:rPr>
                <w:rFonts w:ascii="宋体" w:hAnsi="宋体" w:cs="宋体"/>
                <w:szCs w:val="21"/>
              </w:rPr>
            </w:pPr>
            <w:r>
              <w:rPr>
                <w:rFonts w:hint="eastAsia" w:ascii="宋体" w:hAnsi="宋体" w:cs="宋体"/>
                <w:szCs w:val="21"/>
              </w:rPr>
              <w:t>（4）提高加强个人健康档案与健康体检信息的利用，发现高危人群登记率100%，2分，其余0分；高危人群纳入健康管理率≥30%，2分，其余0分。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查阅资料，现场评估，抽样调查医疗机构资料、信息系统。</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（二）建立分级诊疗制度，推进家庭医生签约服务，开展高血压、糖尿病等重点慢性病规范化管理。</w:t>
            </w:r>
          </w:p>
          <w:p>
            <w:pPr>
              <w:adjustRightInd w:val="0"/>
              <w:snapToGrid w:val="0"/>
              <w:jc w:val="left"/>
              <w:rPr>
                <w:rFonts w:ascii="宋体" w:hAnsi="宋体" w:cs="宋体"/>
                <w:szCs w:val="21"/>
              </w:rPr>
            </w:pPr>
            <w:r>
              <w:rPr>
                <w:rFonts w:hint="eastAsia" w:ascii="宋体" w:hAnsi="宋体" w:cs="宋体"/>
                <w:szCs w:val="21"/>
              </w:rPr>
              <w:t>（25分）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1.开展基层首诊、双向转诊、急慢分治、上下联动的慢性病分级诊疗服务。（7分）</w:t>
            </w:r>
          </w:p>
        </w:tc>
        <w:tc>
          <w:tcPr>
            <w:tcW w:w="4991" w:type="dxa"/>
            <w:vAlign w:val="center"/>
          </w:tcPr>
          <w:p>
            <w:pPr>
              <w:rPr>
                <w:rFonts w:ascii="宋体" w:hAnsi="宋体" w:cs="宋体"/>
                <w:szCs w:val="21"/>
              </w:rPr>
            </w:pPr>
            <w:r>
              <w:rPr>
                <w:rFonts w:hint="eastAsia" w:ascii="宋体" w:hAnsi="宋体" w:cs="宋体"/>
                <w:szCs w:val="21"/>
              </w:rPr>
              <w:t>（1）建立分级诊疗制度，2分；其余0分。</w:t>
            </w:r>
          </w:p>
          <w:p>
            <w:pPr>
              <w:rPr>
                <w:rFonts w:ascii="宋体" w:hAnsi="宋体" w:cs="宋体"/>
                <w:szCs w:val="21"/>
              </w:rPr>
            </w:pPr>
            <w:r>
              <w:rPr>
                <w:rFonts w:hint="eastAsia" w:ascii="宋体" w:hAnsi="宋体" w:cs="宋体"/>
                <w:szCs w:val="21"/>
              </w:rPr>
              <w:t>（2）落实并开展高血压与糖尿病基层首诊、双向转诊、急慢分治、上下联动的分级诊疗服务，基层医疗结构门诊量占比≥50%，3分；其余0分。</w:t>
            </w:r>
          </w:p>
          <w:p>
            <w:pPr>
              <w:rPr>
                <w:rFonts w:ascii="宋体" w:hAnsi="宋体" w:cs="宋体"/>
                <w:szCs w:val="21"/>
              </w:rPr>
            </w:pPr>
            <w:r>
              <w:rPr>
                <w:rFonts w:hint="eastAsia" w:ascii="宋体" w:hAnsi="宋体" w:cs="宋体"/>
                <w:szCs w:val="21"/>
              </w:rPr>
              <w:t>（3）依托信息平台实现分级诊疗，2分；其余0分。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p>
            <w:pPr>
              <w:widowControl/>
              <w:jc w:val="center"/>
              <w:rPr>
                <w:rFonts w:ascii="宋体" w:hAnsi="宋体" w:cs="宋体"/>
                <w:strike/>
                <w:kern w:val="0"/>
                <w:szCs w:val="21"/>
              </w:rPr>
            </w:pP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2.推进家庭医生签约服务，签约团队负责提供约定的基本医疗、公共卫生和健康管理服务。（6分）</w:t>
            </w:r>
          </w:p>
        </w:tc>
        <w:tc>
          <w:tcPr>
            <w:tcW w:w="4991" w:type="dxa"/>
            <w:vAlign w:val="center"/>
          </w:tcPr>
          <w:p>
            <w:pPr>
              <w:rPr>
                <w:rFonts w:ascii="宋体" w:hAnsi="宋体" w:cs="宋体"/>
                <w:szCs w:val="21"/>
              </w:rPr>
            </w:pPr>
            <w:r>
              <w:rPr>
                <w:rFonts w:hint="eastAsia" w:ascii="宋体" w:hAnsi="宋体" w:cs="宋体"/>
                <w:szCs w:val="21"/>
              </w:rPr>
              <w:t>家庭医生签约服务覆盖率高于本省平均水平30%及以上，6分；25-30%，3分；15-25%，１分；15%以下0分。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查阅省级统计数据。查阅家庭医生签约服务记录。</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3.提高18岁以上人群高血压、糖尿病知晓率。（4分）</w:t>
            </w:r>
          </w:p>
        </w:tc>
        <w:tc>
          <w:tcPr>
            <w:tcW w:w="4991" w:type="dxa"/>
            <w:vAlign w:val="center"/>
          </w:tcPr>
          <w:p>
            <w:pPr>
              <w:rPr>
                <w:rFonts w:ascii="宋体" w:hAnsi="宋体" w:cs="宋体"/>
                <w:szCs w:val="21"/>
              </w:rPr>
            </w:pPr>
            <w:r>
              <w:rPr>
                <w:rFonts w:hint="eastAsia" w:ascii="宋体" w:hAnsi="宋体" w:cs="宋体"/>
                <w:szCs w:val="21"/>
              </w:rPr>
              <w:t>（1）18岁以上高血压知晓率≥60%，2分；40-60%，1分；40%以下0分。</w:t>
            </w:r>
            <w:r>
              <w:rPr>
                <w:rFonts w:hint="eastAsia" w:ascii="宋体" w:hAnsi="宋体" w:cs="宋体"/>
                <w:szCs w:val="21"/>
              </w:rPr>
              <w:br w:type="textWrapping"/>
            </w:r>
            <w:r>
              <w:rPr>
                <w:rFonts w:hint="eastAsia" w:ascii="宋体" w:hAnsi="宋体" w:cs="宋体"/>
                <w:szCs w:val="21"/>
              </w:rPr>
              <w:t>（2）18岁以上糖尿病知晓率≥50%，2分；30-50％，1分；30%以下0分。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查阅流行病学调查或监测报告数据。</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4.提高35岁以上人群高血压、糖尿病患者规范管理率。（4分）</w:t>
            </w:r>
          </w:p>
        </w:tc>
        <w:tc>
          <w:tcPr>
            <w:tcW w:w="4991" w:type="dxa"/>
            <w:vAlign w:val="center"/>
          </w:tcPr>
          <w:p>
            <w:pPr>
              <w:rPr>
                <w:rFonts w:ascii="宋体" w:hAnsi="宋体" w:cs="宋体"/>
                <w:szCs w:val="21"/>
              </w:rPr>
            </w:pPr>
            <w:r>
              <w:rPr>
                <w:rFonts w:hint="eastAsia" w:ascii="宋体" w:hAnsi="宋体" w:cs="宋体"/>
                <w:szCs w:val="21"/>
              </w:rPr>
              <w:t>（1）35岁以上高血压患者规范管理率高于全省平均水平5%及以上，2分；3-5%，1分；3%以下0分。</w:t>
            </w:r>
          </w:p>
          <w:p>
            <w:pPr>
              <w:rPr>
                <w:rFonts w:ascii="宋体" w:hAnsi="宋体" w:cs="宋体"/>
                <w:szCs w:val="21"/>
              </w:rPr>
            </w:pPr>
            <w:r>
              <w:rPr>
                <w:rFonts w:hint="eastAsia" w:ascii="宋体" w:hAnsi="宋体" w:cs="宋体"/>
                <w:szCs w:val="21"/>
              </w:rPr>
              <w:t>（2）35岁以上糖尿病患者规范管理率高于全省平均水平5%及以上，2分；3-5%，1分；3%以下0分。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查阅国家基本公共卫生服务项目数据。</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5.提高管理人群高血压、糖尿病患者的控制率。（4分）</w:t>
            </w:r>
          </w:p>
        </w:tc>
        <w:tc>
          <w:tcPr>
            <w:tcW w:w="4991" w:type="dxa"/>
            <w:vAlign w:val="center"/>
          </w:tcPr>
          <w:p>
            <w:pPr>
              <w:rPr>
                <w:rFonts w:ascii="宋体" w:hAnsi="宋体" w:cs="宋体"/>
                <w:szCs w:val="21"/>
              </w:rPr>
            </w:pPr>
            <w:r>
              <w:rPr>
                <w:rFonts w:hint="eastAsia" w:ascii="宋体" w:hAnsi="宋体" w:cs="宋体"/>
                <w:szCs w:val="21"/>
              </w:rPr>
              <w:t>（1）高血压患者血压控制率高于全省平均水平5%及以上，2分；3-5%，1分；3%以下0分。</w:t>
            </w:r>
            <w:r>
              <w:rPr>
                <w:rFonts w:hint="eastAsia" w:ascii="宋体" w:hAnsi="宋体" w:cs="宋体"/>
                <w:szCs w:val="21"/>
              </w:rPr>
              <w:br w:type="textWrapping"/>
            </w:r>
            <w:r>
              <w:rPr>
                <w:rFonts w:hint="eastAsia" w:ascii="宋体" w:hAnsi="宋体" w:cs="宋体"/>
                <w:szCs w:val="21"/>
              </w:rPr>
              <w:t>（2）糖尿病患者血糖控制率高于全省平均水平5%及以上，2分；3-5%，1分；3%以下0分。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查阅国家基本公共卫生服务项目数据。</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（三）在重点人群中开展口腔疾病防治。</w:t>
            </w:r>
          </w:p>
          <w:p>
            <w:pPr>
              <w:adjustRightInd w:val="0"/>
              <w:snapToGrid w:val="0"/>
              <w:jc w:val="left"/>
              <w:rPr>
                <w:rFonts w:ascii="宋体" w:hAnsi="宋体" w:cs="宋体"/>
                <w:szCs w:val="21"/>
              </w:rPr>
            </w:pPr>
            <w:r>
              <w:rPr>
                <w:rFonts w:hint="eastAsia" w:ascii="宋体" w:hAnsi="宋体" w:cs="宋体"/>
                <w:szCs w:val="21"/>
              </w:rPr>
              <w:t>（6分）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1.中小学校及托幼机构限制销售高糖饮料和零食。实施儿童窝沟封闭，控制12岁儿童患龋率。（4分）</w:t>
            </w:r>
          </w:p>
        </w:tc>
        <w:tc>
          <w:tcPr>
            <w:tcW w:w="4991" w:type="dxa"/>
            <w:vAlign w:val="center"/>
          </w:tcPr>
          <w:p>
            <w:pPr>
              <w:rPr>
                <w:rFonts w:ascii="宋体" w:hAnsi="宋体" w:cs="宋体"/>
                <w:szCs w:val="21"/>
              </w:rPr>
            </w:pPr>
            <w:r>
              <w:rPr>
                <w:rFonts w:hint="eastAsia" w:ascii="宋体" w:hAnsi="宋体" w:cs="宋体"/>
                <w:szCs w:val="21"/>
              </w:rPr>
              <w:t>（1）辖区</w:t>
            </w:r>
            <w:r>
              <w:rPr>
                <w:rFonts w:hint="eastAsia" w:ascii="宋体" w:hAnsi="宋体" w:cs="宋体"/>
                <w:kern w:val="0"/>
                <w:szCs w:val="21"/>
              </w:rPr>
              <w:t>中小学校及托幼机构有限制销售高糖饮料和零食政策和措施，1分；其余0分。</w:t>
            </w:r>
          </w:p>
          <w:p>
            <w:pPr>
              <w:rPr>
                <w:rFonts w:ascii="宋体" w:hAnsi="宋体" w:cs="宋体"/>
                <w:szCs w:val="21"/>
              </w:rPr>
            </w:pPr>
            <w:r>
              <w:rPr>
                <w:rFonts w:hint="eastAsia" w:ascii="宋体" w:hAnsi="宋体" w:cs="宋体"/>
                <w:szCs w:val="21"/>
              </w:rPr>
              <w:t>（2）辖区内适龄儿童窝沟封闭比例≥60%，1.5分；50-60%，1分；50%以下0分。</w:t>
            </w:r>
          </w:p>
          <w:p>
            <w:pPr>
              <w:rPr>
                <w:rFonts w:ascii="宋体" w:hAnsi="宋体" w:cs="宋体"/>
                <w:szCs w:val="21"/>
              </w:rPr>
            </w:pPr>
            <w:r>
              <w:rPr>
                <w:rFonts w:hint="eastAsia" w:ascii="宋体" w:hAnsi="宋体" w:cs="宋体"/>
                <w:szCs w:val="21"/>
              </w:rPr>
              <w:t>（3）辖区12岁儿童患龋率&lt;25%，1.5分；其余0分。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教育局</w:t>
            </w:r>
          </w:p>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教育局</w:t>
            </w:r>
          </w:p>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2.建立口腔疾病防治指导中心，完善口腔健康服务体系。（2分）</w:t>
            </w:r>
          </w:p>
        </w:tc>
        <w:tc>
          <w:tcPr>
            <w:tcW w:w="4991" w:type="dxa"/>
            <w:vAlign w:val="center"/>
          </w:tcPr>
          <w:p>
            <w:pPr>
              <w:rPr>
                <w:rFonts w:ascii="宋体" w:hAnsi="宋体" w:cs="宋体"/>
                <w:szCs w:val="21"/>
              </w:rPr>
            </w:pPr>
            <w:r>
              <w:rPr>
                <w:rFonts w:hint="eastAsia" w:ascii="宋体" w:hAnsi="宋体" w:cs="宋体"/>
                <w:kern w:val="0"/>
                <w:szCs w:val="21"/>
              </w:rPr>
              <w:t>辖区建立口腔疾病防治指导中心，2分；其余0分。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（四）完善区域信息平台，实现医疗卫生机构间互联互通、信息共享。</w:t>
            </w:r>
          </w:p>
          <w:p>
            <w:pPr>
              <w:adjustRightInd w:val="0"/>
              <w:snapToGrid w:val="0"/>
              <w:jc w:val="left"/>
              <w:rPr>
                <w:rFonts w:ascii="宋体" w:hAnsi="宋体" w:cs="宋体"/>
                <w:szCs w:val="21"/>
              </w:rPr>
            </w:pPr>
            <w:r>
              <w:rPr>
                <w:rFonts w:hint="eastAsia" w:ascii="宋体" w:hAnsi="宋体" w:cs="宋体"/>
                <w:szCs w:val="21"/>
              </w:rPr>
              <w:t>（15分）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1.建立区域卫生信息平台，实现公共卫生服务、诊疗信息互联互通。（10分）</w:t>
            </w:r>
          </w:p>
        </w:tc>
        <w:tc>
          <w:tcPr>
            <w:tcW w:w="4991" w:type="dxa"/>
            <w:vAlign w:val="center"/>
          </w:tcPr>
          <w:p>
            <w:pPr>
              <w:rPr>
                <w:rFonts w:ascii="宋体" w:hAnsi="宋体" w:cs="宋体"/>
                <w:szCs w:val="21"/>
              </w:rPr>
            </w:pPr>
            <w:r>
              <w:rPr>
                <w:rFonts w:hint="eastAsia" w:ascii="宋体" w:hAnsi="宋体" w:cs="宋体"/>
                <w:szCs w:val="21"/>
              </w:rPr>
              <w:t>（1）建立区域卫生信息平台，4分</w:t>
            </w:r>
            <w:r>
              <w:rPr>
                <w:rFonts w:hint="eastAsia" w:ascii="宋体" w:hAnsi="宋体" w:cs="宋体"/>
                <w:kern w:val="0"/>
                <w:szCs w:val="21"/>
              </w:rPr>
              <w:t>；其余0分</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（2）专业公共卫生机构、二级及以上医院和基层医疗卫生机构之间实现互联互通和信息共享，3分</w:t>
            </w:r>
            <w:r>
              <w:rPr>
                <w:rFonts w:hint="eastAsia" w:ascii="宋体" w:hAnsi="宋体" w:cs="宋体"/>
                <w:kern w:val="0"/>
                <w:szCs w:val="21"/>
              </w:rPr>
              <w:t>；其余0分</w:t>
            </w:r>
            <w:r>
              <w:rPr>
                <w:rFonts w:hint="eastAsia" w:ascii="宋体" w:hAnsi="宋体" w:cs="宋体"/>
                <w:szCs w:val="21"/>
              </w:rPr>
              <w:t>。</w:t>
            </w:r>
          </w:p>
          <w:p>
            <w:pPr>
              <w:rPr>
                <w:rFonts w:ascii="宋体" w:hAnsi="宋体" w:cs="宋体"/>
                <w:szCs w:val="21"/>
              </w:rPr>
            </w:pPr>
            <w:r>
              <w:rPr>
                <w:rFonts w:hint="eastAsia" w:ascii="宋体" w:hAnsi="宋体" w:cs="宋体"/>
                <w:szCs w:val="21"/>
              </w:rPr>
              <w:t>（3）实现电子健康档案和电子病历的连续记录和信息共享，3分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2.应用互联网+、健康大数据提供便捷、高效的健康管理服务。（5分）</w:t>
            </w:r>
          </w:p>
        </w:tc>
        <w:tc>
          <w:tcPr>
            <w:tcW w:w="4991" w:type="dxa"/>
            <w:vAlign w:val="center"/>
          </w:tcPr>
          <w:p>
            <w:pPr>
              <w:rPr>
                <w:rFonts w:ascii="宋体" w:hAnsi="宋体" w:cs="宋体"/>
                <w:szCs w:val="21"/>
              </w:rPr>
            </w:pPr>
            <w:r>
              <w:rPr>
                <w:rFonts w:hint="eastAsia" w:ascii="宋体" w:hAnsi="宋体" w:cs="宋体"/>
                <w:szCs w:val="21"/>
              </w:rPr>
              <w:t>（1）应用互联网+技术为签约服务的患者提供健康管理和诊疗服务，3分</w:t>
            </w:r>
            <w:r>
              <w:rPr>
                <w:rFonts w:hint="eastAsia" w:ascii="宋体" w:hAnsi="宋体" w:cs="宋体"/>
                <w:kern w:val="0"/>
                <w:szCs w:val="21"/>
              </w:rPr>
              <w:t>；其余0分</w:t>
            </w:r>
            <w:r>
              <w:rPr>
                <w:rFonts w:hint="eastAsia" w:ascii="宋体" w:hAnsi="宋体" w:cs="宋体"/>
                <w:szCs w:val="21"/>
              </w:rPr>
              <w:t>。</w:t>
            </w:r>
          </w:p>
          <w:p>
            <w:pPr>
              <w:rPr>
                <w:rFonts w:ascii="宋体" w:hAnsi="宋体" w:cs="宋体"/>
                <w:szCs w:val="21"/>
              </w:rPr>
            </w:pPr>
            <w:r>
              <w:rPr>
                <w:rFonts w:hint="eastAsia" w:ascii="宋体" w:hAnsi="宋体" w:cs="宋体"/>
                <w:szCs w:val="21"/>
              </w:rPr>
              <w:t>（2）应用健康大数据为签约服务的患者提供健康管理和诊疗服务，2分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（五）中西医并重，发挥中医药在慢性病预防、保健、诊疗、康复中的作用。（7分）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1.辖区各社区卫生服务中心、乡镇卫生院有中医综合服务区。（3分）</w:t>
            </w:r>
          </w:p>
        </w:tc>
        <w:tc>
          <w:tcPr>
            <w:tcW w:w="4991" w:type="dxa"/>
            <w:vAlign w:val="center"/>
          </w:tcPr>
          <w:p>
            <w:pPr>
              <w:rPr>
                <w:rFonts w:ascii="宋体" w:hAnsi="宋体" w:cs="宋体"/>
                <w:szCs w:val="21"/>
              </w:rPr>
            </w:pPr>
            <w:r>
              <w:rPr>
                <w:rFonts w:hint="eastAsia" w:ascii="宋体" w:hAnsi="宋体" w:cs="宋体"/>
                <w:szCs w:val="21"/>
              </w:rPr>
              <w:t>设有中医综合服务区的社区卫生服务中心、乡镇卫生院比例达100%，3分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2.开展中医药养生保健知识的宣传及中医适宜技术推广。（4分）</w:t>
            </w:r>
          </w:p>
        </w:tc>
        <w:tc>
          <w:tcPr>
            <w:tcW w:w="4991" w:type="dxa"/>
            <w:vAlign w:val="center"/>
          </w:tcPr>
          <w:p>
            <w:pPr>
              <w:rPr>
                <w:rFonts w:ascii="宋体" w:hAnsi="宋体" w:cs="宋体"/>
                <w:szCs w:val="21"/>
              </w:rPr>
            </w:pPr>
            <w:r>
              <w:rPr>
                <w:rFonts w:hint="eastAsia" w:ascii="宋体" w:hAnsi="宋体" w:cs="宋体"/>
                <w:szCs w:val="21"/>
              </w:rPr>
              <w:t>（1）宣传中医药养生保健知识，2分</w:t>
            </w:r>
            <w:r>
              <w:rPr>
                <w:rFonts w:hint="eastAsia" w:ascii="宋体" w:hAnsi="宋体" w:cs="宋体"/>
                <w:kern w:val="0"/>
                <w:szCs w:val="21"/>
              </w:rPr>
              <w:t>；其余0分</w:t>
            </w:r>
            <w:r>
              <w:rPr>
                <w:rFonts w:hint="eastAsia" w:ascii="宋体" w:hAnsi="宋体" w:cs="宋体"/>
                <w:szCs w:val="21"/>
              </w:rPr>
              <w:t>。</w:t>
            </w:r>
          </w:p>
          <w:p>
            <w:pPr>
              <w:rPr>
                <w:rFonts w:ascii="宋体" w:hAnsi="宋体" w:cs="宋体"/>
                <w:szCs w:val="21"/>
              </w:rPr>
            </w:pPr>
            <w:r>
              <w:rPr>
                <w:rFonts w:hint="eastAsia" w:ascii="宋体" w:hAnsi="宋体" w:cs="宋体"/>
                <w:szCs w:val="21"/>
              </w:rPr>
              <w:t>（2）推广中医适宜技术，2分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（六）做好基本医疗保险、城乡居民大病保险和医疗救助重大疾病保障的衔接。（7分）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1.做好基本医疗保险、城乡居民大病保险和医疗救助重大疾病保障。（4分）</w:t>
            </w:r>
          </w:p>
        </w:tc>
        <w:tc>
          <w:tcPr>
            <w:tcW w:w="4991" w:type="dxa"/>
            <w:vAlign w:val="center"/>
          </w:tcPr>
          <w:p>
            <w:pPr>
              <w:rPr>
                <w:rFonts w:ascii="宋体" w:hAnsi="宋体" w:cs="宋体"/>
                <w:szCs w:val="21"/>
              </w:rPr>
            </w:pPr>
            <w:r>
              <w:rPr>
                <w:rFonts w:hint="eastAsia" w:ascii="宋体" w:hAnsi="宋体" w:cs="宋体"/>
                <w:szCs w:val="21"/>
              </w:rPr>
              <w:t>（1）落实基本医疗保险、大病保险和医疗救助重大疾病保障等相关政策，2分</w:t>
            </w:r>
            <w:r>
              <w:rPr>
                <w:rFonts w:hint="eastAsia" w:ascii="宋体" w:hAnsi="宋体" w:cs="宋体"/>
                <w:kern w:val="0"/>
                <w:szCs w:val="21"/>
              </w:rPr>
              <w:t>；其余0分</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（2）提高签约患者的医疗保障水平和残疾人、流动人口、低收入等人群医疗救助水平的具体措施，2分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医保分局</w:t>
            </w:r>
          </w:p>
          <w:p>
            <w:pPr>
              <w:widowControl/>
              <w:jc w:val="center"/>
              <w:rPr>
                <w:rFonts w:ascii="宋体" w:hAnsi="宋体" w:cs="宋体"/>
                <w:kern w:val="0"/>
                <w:szCs w:val="21"/>
              </w:rPr>
            </w:pPr>
            <w:r>
              <w:rPr>
                <w:rFonts w:hint="eastAsia" w:ascii="宋体" w:hAnsi="宋体" w:cs="宋体"/>
                <w:kern w:val="0"/>
                <w:szCs w:val="21"/>
              </w:rPr>
              <w:t>总工会</w:t>
            </w:r>
          </w:p>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left"/>
              <w:rPr>
                <w:rFonts w:ascii="宋体" w:hAnsi="宋体" w:cs="宋体"/>
                <w:kern w:val="0"/>
                <w:szCs w:val="21"/>
              </w:rPr>
            </w:pPr>
            <w:r>
              <w:rPr>
                <w:rFonts w:hint="eastAsia" w:ascii="宋体" w:hAnsi="宋体" w:cs="宋体"/>
                <w:kern w:val="0"/>
                <w:szCs w:val="21"/>
              </w:rPr>
              <w:t>2.基层医疗卫生机构优先配备使用基本药物，根据省级医保药品报销目录，配备使用一定数量或比例的药品。（3分）</w:t>
            </w:r>
          </w:p>
        </w:tc>
        <w:tc>
          <w:tcPr>
            <w:tcW w:w="4991" w:type="dxa"/>
            <w:vAlign w:val="center"/>
          </w:tcPr>
          <w:p>
            <w:pPr>
              <w:rPr>
                <w:rFonts w:ascii="宋体" w:hAnsi="宋体" w:cs="宋体"/>
                <w:szCs w:val="21"/>
              </w:rPr>
            </w:pPr>
            <w:r>
              <w:rPr>
                <w:rFonts w:hint="eastAsia" w:ascii="宋体" w:hAnsi="宋体" w:cs="宋体"/>
                <w:szCs w:val="21"/>
              </w:rPr>
              <w:t>（1）基层医疗机构配置基本药物目录涵盖的所有药物，1分</w:t>
            </w:r>
            <w:r>
              <w:rPr>
                <w:rFonts w:hint="eastAsia" w:ascii="宋体" w:hAnsi="宋体" w:cs="宋体"/>
                <w:kern w:val="0"/>
                <w:szCs w:val="21"/>
              </w:rPr>
              <w:t>；其余0分</w:t>
            </w:r>
            <w:r>
              <w:rPr>
                <w:rFonts w:hint="eastAsia" w:ascii="宋体" w:hAnsi="宋体" w:cs="宋体"/>
                <w:szCs w:val="21"/>
              </w:rPr>
              <w:t>。</w:t>
            </w:r>
          </w:p>
          <w:p>
            <w:pPr>
              <w:rPr>
                <w:rFonts w:ascii="宋体" w:hAnsi="宋体" w:cs="宋体"/>
                <w:szCs w:val="21"/>
              </w:rPr>
            </w:pPr>
            <w:r>
              <w:rPr>
                <w:rFonts w:hint="eastAsia" w:ascii="宋体" w:hAnsi="宋体" w:cs="宋体"/>
                <w:szCs w:val="21"/>
              </w:rPr>
              <w:t>（2）按省级卫生健康行政部门规定和要求配备使用医保报销药物，2分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（七）动员社会力量参与慢性病防控工作，促进医养结合。</w:t>
            </w:r>
          </w:p>
          <w:p>
            <w:pPr>
              <w:adjustRightInd w:val="0"/>
              <w:snapToGrid w:val="0"/>
              <w:jc w:val="left"/>
              <w:rPr>
                <w:rFonts w:ascii="宋体" w:hAnsi="宋体" w:cs="宋体"/>
                <w:szCs w:val="21"/>
              </w:rPr>
            </w:pPr>
            <w:r>
              <w:rPr>
                <w:rFonts w:hint="eastAsia" w:ascii="宋体" w:hAnsi="宋体" w:cs="宋体"/>
                <w:szCs w:val="21"/>
              </w:rPr>
              <w:t>（7分）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1.政府引导、市场驱动、社会力量参与，为慢性病患者提供健康管理服务。（4分）</w:t>
            </w:r>
          </w:p>
        </w:tc>
        <w:tc>
          <w:tcPr>
            <w:tcW w:w="4991" w:type="dxa"/>
            <w:vAlign w:val="center"/>
          </w:tcPr>
          <w:p>
            <w:pPr>
              <w:rPr>
                <w:rFonts w:ascii="宋体" w:hAnsi="宋体" w:cs="宋体"/>
                <w:szCs w:val="21"/>
              </w:rPr>
            </w:pPr>
            <w:r>
              <w:rPr>
                <w:rFonts w:hint="eastAsia" w:ascii="宋体" w:hAnsi="宋体" w:cs="宋体"/>
                <w:szCs w:val="21"/>
              </w:rPr>
              <w:t>（1）有效引进社会资本参与慢性病防控，1分</w:t>
            </w:r>
            <w:r>
              <w:rPr>
                <w:rFonts w:hint="eastAsia" w:ascii="宋体" w:hAnsi="宋体" w:cs="宋体"/>
                <w:kern w:val="0"/>
                <w:szCs w:val="21"/>
              </w:rPr>
              <w:t>；其余0分</w:t>
            </w:r>
            <w:r>
              <w:rPr>
                <w:rFonts w:hint="eastAsia" w:ascii="宋体" w:hAnsi="宋体" w:cs="宋体"/>
                <w:szCs w:val="21"/>
              </w:rPr>
              <w:t>。</w:t>
            </w:r>
          </w:p>
          <w:p>
            <w:pPr>
              <w:rPr>
                <w:rFonts w:ascii="宋体" w:hAnsi="宋体" w:cs="宋体"/>
                <w:szCs w:val="21"/>
              </w:rPr>
            </w:pPr>
            <w:r>
              <w:rPr>
                <w:rFonts w:hint="eastAsia" w:ascii="宋体" w:hAnsi="宋体" w:cs="宋体"/>
                <w:szCs w:val="21"/>
              </w:rPr>
              <w:t>（2）商业健康保险参与医疗救助，1分</w:t>
            </w:r>
            <w:r>
              <w:rPr>
                <w:rFonts w:hint="eastAsia" w:ascii="宋体" w:hAnsi="宋体" w:cs="宋体"/>
                <w:kern w:val="0"/>
                <w:szCs w:val="21"/>
              </w:rPr>
              <w:t>；其余0分</w:t>
            </w:r>
            <w:r>
              <w:rPr>
                <w:rFonts w:hint="eastAsia" w:ascii="宋体" w:hAnsi="宋体" w:cs="宋体"/>
                <w:szCs w:val="21"/>
              </w:rPr>
              <w:t>。</w:t>
            </w:r>
          </w:p>
          <w:p>
            <w:pPr>
              <w:rPr>
                <w:rFonts w:ascii="宋体" w:hAnsi="宋体" w:cs="宋体"/>
                <w:szCs w:val="21"/>
              </w:rPr>
            </w:pPr>
            <w:r>
              <w:rPr>
                <w:rFonts w:hint="eastAsia" w:ascii="宋体" w:hAnsi="宋体" w:cs="宋体"/>
                <w:szCs w:val="21"/>
              </w:rPr>
              <w:t>（3）通过向社会力量购买服务的方式，为慢性病患者提供健康管理服务，2分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r>
              <w:rPr>
                <w:rFonts w:hint="eastAsia" w:ascii="宋体" w:hAnsi="宋体" w:cs="宋体"/>
                <w:kern w:val="0"/>
                <w:szCs w:val="21"/>
              </w:rPr>
              <w:t>医保分局</w:t>
            </w:r>
          </w:p>
          <w:p>
            <w:pPr>
              <w:widowControl/>
              <w:jc w:val="center"/>
              <w:rPr>
                <w:rFonts w:ascii="宋体" w:hAnsi="宋体" w:cs="宋体"/>
                <w:kern w:val="0"/>
                <w:szCs w:val="21"/>
              </w:rPr>
            </w:pPr>
            <w:r>
              <w:rPr>
                <w:rFonts w:hint="eastAsia" w:ascii="宋体" w:hAnsi="宋体" w:cs="宋体"/>
                <w:kern w:val="0"/>
                <w:szCs w:val="21"/>
              </w:rPr>
              <w:t>红十字会</w:t>
            </w:r>
          </w:p>
          <w:p>
            <w:pPr>
              <w:widowControl/>
              <w:jc w:val="center"/>
              <w:rPr>
                <w:rFonts w:ascii="宋体" w:hAnsi="宋体" w:cs="宋体"/>
                <w:strike/>
                <w:kern w:val="0"/>
                <w:szCs w:val="21"/>
              </w:rPr>
            </w:pPr>
            <w:r>
              <w:rPr>
                <w:rFonts w:hint="eastAsia" w:ascii="宋体" w:hAnsi="宋体" w:cs="宋体"/>
                <w:kern w:val="0"/>
                <w:szCs w:val="21"/>
              </w:rPr>
              <w:t>各街镇</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2.促进慢性病全程防治管理服务与社区居家养老和机构养老服务融合。（3分）</w:t>
            </w:r>
          </w:p>
        </w:tc>
        <w:tc>
          <w:tcPr>
            <w:tcW w:w="4991" w:type="dxa"/>
            <w:vAlign w:val="center"/>
          </w:tcPr>
          <w:p>
            <w:pPr>
              <w:rPr>
                <w:rFonts w:ascii="宋体" w:hAnsi="宋体" w:cs="宋体"/>
                <w:szCs w:val="21"/>
              </w:rPr>
            </w:pPr>
            <w:r>
              <w:rPr>
                <w:rFonts w:hint="eastAsia" w:ascii="宋体" w:hAnsi="宋体" w:cs="宋体"/>
                <w:szCs w:val="21"/>
              </w:rPr>
              <w:t>（1）医疗机构向社区居家养老与机构养老的老年人提供医养结合的健康养老服务覆盖比例≥80%,2分；60-80%，1分；60%以下0分。</w:t>
            </w:r>
          </w:p>
          <w:p>
            <w:pPr>
              <w:rPr>
                <w:rFonts w:ascii="宋体" w:hAnsi="宋体" w:cs="宋体"/>
                <w:szCs w:val="21"/>
              </w:rPr>
            </w:pPr>
            <w:r>
              <w:rPr>
                <w:rFonts w:hint="eastAsia" w:ascii="宋体" w:hAnsi="宋体" w:cs="宋体"/>
                <w:szCs w:val="21"/>
              </w:rPr>
              <w:t>（2）具有医养结合机构的街道/乡镇覆盖率≥10%，1分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p>
            <w:pPr>
              <w:widowControl/>
              <w:rPr>
                <w:rFonts w:ascii="宋体" w:hAnsi="宋体" w:cs="宋体"/>
                <w:kern w:val="0"/>
                <w:szCs w:val="21"/>
              </w:rPr>
            </w:pPr>
            <w:r>
              <w:rPr>
                <w:rFonts w:hint="eastAsia" w:ascii="宋体" w:hAnsi="宋体" w:cs="宋体"/>
                <w:szCs w:val="21"/>
              </w:rPr>
              <w:t>社区指村/居委会。</w:t>
            </w:r>
          </w:p>
        </w:tc>
        <w:tc>
          <w:tcPr>
            <w:tcW w:w="1124" w:type="dxa"/>
            <w:vAlign w:val="center"/>
          </w:tcPr>
          <w:p>
            <w:pPr>
              <w:widowControl/>
              <w:jc w:val="center"/>
              <w:rPr>
                <w:rFonts w:ascii="宋体" w:hAnsi="宋体" w:cs="宋体"/>
                <w:szCs w:val="21"/>
              </w:rPr>
            </w:pPr>
            <w:r>
              <w:rPr>
                <w:rFonts w:hint="eastAsia" w:ascii="宋体" w:hAnsi="宋体" w:cs="宋体"/>
                <w:szCs w:val="21"/>
              </w:rPr>
              <w:t>民政局</w:t>
            </w:r>
          </w:p>
          <w:p>
            <w:pPr>
              <w:widowControl/>
              <w:jc w:val="center"/>
              <w:rPr>
                <w:rFonts w:ascii="宋体" w:hAnsi="宋体" w:cs="宋体"/>
                <w:szCs w:val="21"/>
              </w:rPr>
            </w:pPr>
            <w:r>
              <w:rPr>
                <w:rFonts w:hint="eastAsia" w:ascii="宋体" w:hAnsi="宋体" w:cs="宋体"/>
                <w:szCs w:val="21"/>
              </w:rPr>
              <w:t>卫健委</w:t>
            </w:r>
          </w:p>
        </w:tc>
        <w:tc>
          <w:tcPr>
            <w:tcW w:w="1355" w:type="dxa"/>
            <w:vAlign w:val="center"/>
          </w:tcPr>
          <w:p>
            <w:pPr>
              <w:widowControl/>
              <w:jc w:val="center"/>
              <w:rPr>
                <w:rFonts w:ascii="宋体" w:hAnsi="宋体" w:cs="宋体"/>
                <w:szCs w:val="21"/>
              </w:rPr>
            </w:pPr>
            <w:r>
              <w:rPr>
                <w:rFonts w:hint="eastAsia" w:ascii="宋体" w:hAnsi="宋体" w:cs="宋体"/>
                <w:szCs w:val="21"/>
              </w:rPr>
              <w:t>民政局</w:t>
            </w:r>
          </w:p>
          <w:p>
            <w:pPr>
              <w:widowControl/>
              <w:jc w:val="center"/>
              <w:rPr>
                <w:rFonts w:ascii="宋体" w:hAnsi="宋体" w:cs="宋体"/>
                <w:szCs w:val="21"/>
              </w:rPr>
            </w:pPr>
            <w:r>
              <w:rPr>
                <w:rFonts w:hint="eastAsia" w:ascii="宋体" w:hAnsi="宋体" w:cs="宋体"/>
                <w:szCs w:val="21"/>
              </w:rPr>
              <w:t>卫健委</w:t>
            </w:r>
          </w:p>
        </w:tc>
        <w:tc>
          <w:tcPr>
            <w:tcW w:w="992" w:type="dxa"/>
            <w:vAlign w:val="center"/>
          </w:tcPr>
          <w:p>
            <w:pPr>
              <w:widowControl/>
              <w:jc w:val="center"/>
              <w:rPr>
                <w:rFonts w:ascii="宋体" w:hAnsi="宋体" w:cs="宋体"/>
                <w:szCs w:val="21"/>
              </w:rPr>
            </w:pPr>
            <w:r>
              <w:rPr>
                <w:rFonts w:hint="eastAsia" w:ascii="宋体" w:hAnsi="宋体" w:cs="宋体"/>
                <w:szCs w:val="21"/>
              </w:rPr>
              <w:t>各街/镇</w:t>
            </w:r>
          </w:p>
          <w:p>
            <w:pPr>
              <w:widowControl/>
              <w:jc w:val="center"/>
              <w:rPr>
                <w:rFonts w:ascii="宋体" w:hAnsi="宋体" w:cs="宋体"/>
                <w:szCs w:val="21"/>
              </w:rPr>
            </w:pPr>
          </w:p>
        </w:tc>
        <w:tc>
          <w:tcPr>
            <w:tcW w:w="954" w:type="dxa"/>
            <w:vAlign w:val="center"/>
          </w:tcPr>
          <w:p>
            <w:pPr>
              <w:widowControl/>
              <w:jc w:val="center"/>
              <w:rPr>
                <w:rFonts w:ascii="宋体" w:hAnsi="宋体" w:cs="宋体"/>
                <w:szCs w:val="21"/>
              </w:rPr>
            </w:pPr>
            <w:r>
              <w:rPr>
                <w:rFonts w:hint="eastAsia" w:ascii="宋体" w:hAnsi="宋体" w:cs="宋体"/>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95" w:type="dxa"/>
            <w:vMerge w:val="restart"/>
            <w:vAlign w:val="center"/>
          </w:tcPr>
          <w:p>
            <w:pPr>
              <w:jc w:val="center"/>
              <w:rPr>
                <w:rFonts w:ascii="宋体" w:hAnsi="宋体" w:cs="宋体"/>
                <w:szCs w:val="21"/>
              </w:rPr>
            </w:pPr>
            <w:r>
              <w:rPr>
                <w:rFonts w:hint="eastAsia" w:ascii="宋体" w:hAnsi="宋体" w:cs="宋体"/>
                <w:szCs w:val="21"/>
              </w:rPr>
              <w:t>六、监测评估（30分）</w:t>
            </w: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（一）开展过程质量控制和重点慢性病监测工作。</w:t>
            </w:r>
          </w:p>
          <w:p>
            <w:pPr>
              <w:adjustRightInd w:val="0"/>
              <w:snapToGrid w:val="0"/>
              <w:jc w:val="left"/>
              <w:rPr>
                <w:rFonts w:ascii="宋体" w:hAnsi="宋体" w:cs="宋体"/>
                <w:szCs w:val="21"/>
              </w:rPr>
            </w:pPr>
            <w:r>
              <w:rPr>
                <w:rFonts w:hint="eastAsia" w:ascii="宋体" w:hAnsi="宋体" w:cs="宋体"/>
                <w:szCs w:val="21"/>
              </w:rPr>
              <w:t>（15分）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1.规范开展覆盖辖区慢性病及相关危险因素监测，掌握辖区重点慢性病状况、影响因素和疾病负担。（10分）</w:t>
            </w:r>
          </w:p>
        </w:tc>
        <w:tc>
          <w:tcPr>
            <w:tcW w:w="4991" w:type="dxa"/>
            <w:vAlign w:val="center"/>
          </w:tcPr>
          <w:p>
            <w:pPr>
              <w:rPr>
                <w:rFonts w:ascii="宋体" w:hAnsi="宋体" w:cs="宋体"/>
                <w:szCs w:val="21"/>
              </w:rPr>
            </w:pPr>
            <w:r>
              <w:rPr>
                <w:rFonts w:hint="eastAsia" w:ascii="宋体" w:hAnsi="宋体" w:cs="宋体"/>
                <w:szCs w:val="21"/>
              </w:rPr>
              <w:t>全人群的死因监测、慢病与营养监测、心脑血管疾病、肿瘤、慢阻肺等重大慢性病登记报告达到基本技术指标，完成报告。</w:t>
            </w:r>
          </w:p>
          <w:p>
            <w:pPr>
              <w:rPr>
                <w:rFonts w:ascii="宋体" w:hAnsi="宋体" w:cs="宋体"/>
                <w:szCs w:val="21"/>
              </w:rPr>
            </w:pPr>
            <w:r>
              <w:rPr>
                <w:rFonts w:hint="eastAsia" w:ascii="宋体" w:hAnsi="宋体" w:cs="宋体"/>
                <w:szCs w:val="21"/>
              </w:rPr>
              <w:t>（1）死因监测，2分</w:t>
            </w:r>
            <w:r>
              <w:rPr>
                <w:rFonts w:hint="eastAsia" w:ascii="宋体" w:hAnsi="宋体" w:cs="宋体"/>
                <w:kern w:val="0"/>
                <w:szCs w:val="21"/>
              </w:rPr>
              <w:t>；其余0分</w:t>
            </w:r>
            <w:r>
              <w:rPr>
                <w:rFonts w:hint="eastAsia" w:ascii="宋体" w:hAnsi="宋体" w:cs="宋体"/>
                <w:szCs w:val="21"/>
              </w:rPr>
              <w:t>；</w:t>
            </w:r>
          </w:p>
          <w:p>
            <w:pPr>
              <w:rPr>
                <w:rFonts w:ascii="宋体" w:hAnsi="宋体" w:cs="宋体"/>
                <w:szCs w:val="21"/>
              </w:rPr>
            </w:pPr>
            <w:r>
              <w:rPr>
                <w:rFonts w:hint="eastAsia" w:ascii="宋体" w:hAnsi="宋体" w:cs="宋体"/>
                <w:szCs w:val="21"/>
              </w:rPr>
              <w:t>（2）每5年1次慢病与营养监测，2分</w:t>
            </w:r>
            <w:r>
              <w:rPr>
                <w:rFonts w:hint="eastAsia" w:ascii="宋体" w:hAnsi="宋体" w:cs="宋体"/>
                <w:kern w:val="0"/>
                <w:szCs w:val="21"/>
              </w:rPr>
              <w:t>；其余0分</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（3）心脑血管疾病报告，2分</w:t>
            </w:r>
            <w:r>
              <w:rPr>
                <w:rFonts w:hint="eastAsia" w:ascii="宋体" w:hAnsi="宋体" w:cs="宋体"/>
                <w:kern w:val="0"/>
                <w:szCs w:val="21"/>
              </w:rPr>
              <w:t>；其余0分</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（4）肿瘤随访登记，2分</w:t>
            </w:r>
            <w:r>
              <w:rPr>
                <w:rFonts w:hint="eastAsia" w:ascii="宋体" w:hAnsi="宋体" w:cs="宋体"/>
                <w:kern w:val="0"/>
                <w:szCs w:val="21"/>
              </w:rPr>
              <w:t>；其余0分</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（5）慢阻肺监测，2分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2.慢性病监测数据互联互通。（5分）</w:t>
            </w:r>
          </w:p>
        </w:tc>
        <w:tc>
          <w:tcPr>
            <w:tcW w:w="4991" w:type="dxa"/>
            <w:vAlign w:val="center"/>
          </w:tcPr>
          <w:p>
            <w:pPr>
              <w:rPr>
                <w:rFonts w:ascii="宋体" w:hAnsi="宋体" w:cs="宋体"/>
                <w:szCs w:val="21"/>
              </w:rPr>
            </w:pPr>
            <w:r>
              <w:rPr>
                <w:rFonts w:hint="eastAsia" w:ascii="宋体" w:hAnsi="宋体" w:cs="宋体"/>
                <w:szCs w:val="21"/>
              </w:rPr>
              <w:t>利用省、地市、县三级人口健康信息和疾病预防控制信息管理系统，实现重点慢性病监测数据互联互通，5分</w:t>
            </w:r>
            <w:r>
              <w:rPr>
                <w:rFonts w:hint="eastAsia" w:ascii="宋体" w:hAnsi="宋体" w:cs="宋体"/>
                <w:kern w:val="0"/>
                <w:szCs w:val="21"/>
              </w:rPr>
              <w:t>；其余0分</w:t>
            </w:r>
            <w:r>
              <w:rPr>
                <w:rFonts w:hint="eastAsia" w:ascii="宋体" w:hAnsi="宋体" w:cs="宋体"/>
                <w:szCs w:val="21"/>
              </w:rPr>
              <w:t>。</w:t>
            </w:r>
          </w:p>
        </w:tc>
        <w:tc>
          <w:tcPr>
            <w:tcW w:w="1596" w:type="dxa"/>
            <w:vAlign w:val="center"/>
          </w:tcPr>
          <w:p>
            <w:pPr>
              <w:widowControl/>
              <w:rPr>
                <w:rFonts w:ascii="宋体" w:hAnsi="宋体" w:cs="宋体"/>
                <w:kern w:val="0"/>
                <w:szCs w:val="21"/>
              </w:rPr>
            </w:pPr>
            <w:r>
              <w:rPr>
                <w:rFonts w:hint="eastAsia" w:ascii="宋体" w:hAnsi="宋体" w:cs="宋体"/>
                <w:kern w:val="0"/>
                <w:szCs w:val="21"/>
              </w:rPr>
              <w:t>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jc w:val="center"/>
        </w:trPr>
        <w:tc>
          <w:tcPr>
            <w:tcW w:w="995" w:type="dxa"/>
            <w:vMerge w:val="continue"/>
            <w:vAlign w:val="center"/>
          </w:tcPr>
          <w:p>
            <w:pPr>
              <w:jc w:val="center"/>
              <w:rPr>
                <w:rFonts w:ascii="宋体" w:hAnsi="宋体" w:cs="宋体"/>
                <w:szCs w:val="21"/>
              </w:rPr>
            </w:pP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（二）开展慢性病防控社会因素调查，定期发布调查结果。</w:t>
            </w:r>
          </w:p>
          <w:p>
            <w:pPr>
              <w:adjustRightInd w:val="0"/>
              <w:snapToGrid w:val="0"/>
              <w:jc w:val="left"/>
              <w:rPr>
                <w:rFonts w:ascii="宋体" w:hAnsi="宋体" w:cs="宋体"/>
                <w:szCs w:val="21"/>
              </w:rPr>
            </w:pPr>
            <w:r>
              <w:rPr>
                <w:rFonts w:hint="eastAsia" w:ascii="宋体" w:hAnsi="宋体" w:cs="宋体"/>
                <w:szCs w:val="21"/>
              </w:rPr>
              <w:t>（15分）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1.辖区每5年开展一次慢性病防控社会因素调查。（9分）</w:t>
            </w:r>
          </w:p>
        </w:tc>
        <w:tc>
          <w:tcPr>
            <w:tcW w:w="4991" w:type="dxa"/>
            <w:vAlign w:val="center"/>
          </w:tcPr>
          <w:p>
            <w:pPr>
              <w:rPr>
                <w:rFonts w:ascii="宋体" w:hAnsi="宋体" w:cs="宋体"/>
                <w:szCs w:val="21"/>
              </w:rPr>
            </w:pPr>
            <w:r>
              <w:rPr>
                <w:rFonts w:hint="eastAsia" w:ascii="宋体" w:hAnsi="宋体" w:cs="宋体"/>
                <w:szCs w:val="21"/>
              </w:rPr>
              <w:t>（1）规范制定慢性病防控社会因素调查方案，1分；其余0分。</w:t>
            </w:r>
          </w:p>
          <w:p>
            <w:pPr>
              <w:rPr>
                <w:rFonts w:ascii="宋体" w:hAnsi="宋体" w:cs="宋体"/>
                <w:szCs w:val="21"/>
              </w:rPr>
            </w:pPr>
            <w:r>
              <w:rPr>
                <w:rFonts w:hint="eastAsia" w:ascii="宋体" w:hAnsi="宋体" w:cs="宋体"/>
                <w:szCs w:val="21"/>
              </w:rPr>
              <w:t>（2）综合运用社会学、流行病学及管理学理论与方法开展社会因素调查，完成调查报告，2分；其余0分。</w:t>
            </w:r>
          </w:p>
          <w:p>
            <w:pPr>
              <w:rPr>
                <w:rFonts w:ascii="宋体" w:hAnsi="宋体" w:cs="宋体"/>
                <w:szCs w:val="21"/>
              </w:rPr>
            </w:pPr>
            <w:r>
              <w:rPr>
                <w:rFonts w:hint="eastAsia" w:ascii="宋体" w:hAnsi="宋体" w:cs="宋体"/>
                <w:szCs w:val="21"/>
              </w:rPr>
              <w:t>（3）报告信息来源权威、准确、多元、综合，报告结构完整，有背景、方法、现状与主要问题、资源分析、预期目标、主要对策与具体措施等内容，2分；其余0分。</w:t>
            </w:r>
          </w:p>
          <w:p>
            <w:pPr>
              <w:rPr>
                <w:rFonts w:ascii="宋体" w:hAnsi="宋体" w:cs="宋体"/>
                <w:szCs w:val="21"/>
              </w:rPr>
            </w:pPr>
            <w:r>
              <w:rPr>
                <w:rFonts w:hint="eastAsia" w:ascii="宋体" w:hAnsi="宋体" w:cs="宋体"/>
                <w:szCs w:val="21"/>
              </w:rPr>
              <w:t>（4）报告调查结果清晰、调查依据正确、对策合乎逻辑、目标设定科学、措施设计得当，2分；其余0分。</w:t>
            </w:r>
            <w:r>
              <w:rPr>
                <w:rFonts w:hint="eastAsia" w:ascii="宋体" w:hAnsi="宋体" w:cs="宋体"/>
                <w:szCs w:val="21"/>
              </w:rPr>
              <w:br w:type="textWrapping"/>
            </w:r>
            <w:r>
              <w:rPr>
                <w:rFonts w:hint="eastAsia" w:ascii="宋体" w:hAnsi="宋体" w:cs="宋体"/>
                <w:szCs w:val="21"/>
              </w:rPr>
              <w:t>（5）报告结果用于指引、评估示范区建设及慢性病综合防控工作计划的制定，2分；其余0分。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p>
          <w:p>
            <w:pPr>
              <w:widowControl/>
              <w:jc w:val="center"/>
              <w:rPr>
                <w:rFonts w:ascii="宋体" w:hAnsi="宋体" w:cs="宋体"/>
                <w:kern w:val="0"/>
                <w:szCs w:val="21"/>
              </w:rPr>
            </w:pPr>
            <w:r>
              <w:rPr>
                <w:rFonts w:hint="eastAsia" w:ascii="宋体" w:hAnsi="宋体" w:cs="宋体"/>
                <w:kern w:val="0"/>
                <w:szCs w:val="21"/>
              </w:rPr>
              <w:t>各成员单位</w:t>
            </w:r>
          </w:p>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95" w:type="dxa"/>
            <w:vMerge w:val="continue"/>
            <w:vAlign w:val="center"/>
          </w:tcPr>
          <w:p>
            <w:pPr>
              <w:jc w:val="center"/>
              <w:rPr>
                <w:rFonts w:ascii="宋体" w:hAnsi="宋体" w:cs="宋体"/>
                <w:szCs w:val="21"/>
              </w:rPr>
            </w:pPr>
          </w:p>
        </w:tc>
        <w:tc>
          <w:tcPr>
            <w:tcW w:w="1295" w:type="dxa"/>
            <w:vMerge w:val="continue"/>
            <w:vAlign w:val="center"/>
          </w:tcPr>
          <w:p>
            <w:pPr>
              <w:adjustRightInd w:val="0"/>
              <w:snapToGrid w:val="0"/>
              <w:jc w:val="left"/>
              <w:rPr>
                <w:rFonts w:ascii="宋体" w:hAnsi="宋体" w:cs="宋体"/>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2.辖区政府发布人群慢性病防控有关健康信息。（6分）</w:t>
            </w:r>
          </w:p>
        </w:tc>
        <w:tc>
          <w:tcPr>
            <w:tcW w:w="4991" w:type="dxa"/>
            <w:vAlign w:val="center"/>
          </w:tcPr>
          <w:p>
            <w:pPr>
              <w:rPr>
                <w:rFonts w:ascii="宋体" w:hAnsi="宋体" w:cs="宋体"/>
                <w:szCs w:val="21"/>
              </w:rPr>
            </w:pPr>
            <w:r>
              <w:rPr>
                <w:rFonts w:hint="eastAsia" w:ascii="宋体" w:hAnsi="宋体" w:cs="宋体"/>
                <w:szCs w:val="21"/>
              </w:rPr>
              <w:t>（1）辖区政府每5年发布含慢性病防控内容的综合健康报告，3分；其余0分。</w:t>
            </w:r>
          </w:p>
          <w:p>
            <w:pPr>
              <w:rPr>
                <w:rFonts w:ascii="宋体" w:hAnsi="宋体" w:cs="宋体"/>
                <w:szCs w:val="21"/>
              </w:rPr>
            </w:pPr>
            <w:r>
              <w:rPr>
                <w:rFonts w:hint="eastAsia" w:ascii="宋体" w:hAnsi="宋体" w:cs="宋体"/>
                <w:szCs w:val="21"/>
              </w:rPr>
              <w:t>（2）综合健康报告主要结果用于政府工作报告，3分；其余0分。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查阅资料。</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政府办</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卫健委</w:t>
            </w:r>
          </w:p>
          <w:p>
            <w:pPr>
              <w:widowControl/>
              <w:jc w:val="center"/>
              <w:rPr>
                <w:rFonts w:ascii="宋体" w:hAnsi="宋体" w:cs="宋体"/>
                <w:kern w:val="0"/>
                <w:szCs w:val="21"/>
              </w:rPr>
            </w:pPr>
            <w:r>
              <w:rPr>
                <w:rFonts w:hint="eastAsia" w:ascii="宋体" w:hAnsi="宋体" w:cs="宋体"/>
                <w:kern w:val="0"/>
                <w:szCs w:val="21"/>
              </w:rPr>
              <w:t>宣传部</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995" w:type="dxa"/>
            <w:vMerge w:val="restart"/>
            <w:vAlign w:val="center"/>
          </w:tcPr>
          <w:p>
            <w:pPr>
              <w:jc w:val="center"/>
              <w:rPr>
                <w:rFonts w:ascii="宋体" w:hAnsi="宋体" w:cs="宋体"/>
                <w:szCs w:val="21"/>
              </w:rPr>
            </w:pPr>
            <w:r>
              <w:rPr>
                <w:rFonts w:hint="eastAsia" w:ascii="宋体" w:hAnsi="宋体" w:cs="宋体"/>
                <w:szCs w:val="21"/>
              </w:rPr>
              <w:t>七、创新引领（30分）</w:t>
            </w:r>
          </w:p>
        </w:tc>
        <w:tc>
          <w:tcPr>
            <w:tcW w:w="1295" w:type="dxa"/>
            <w:vMerge w:val="restart"/>
            <w:vAlign w:val="center"/>
          </w:tcPr>
          <w:p>
            <w:pPr>
              <w:adjustRightInd w:val="0"/>
              <w:snapToGrid w:val="0"/>
              <w:jc w:val="left"/>
              <w:rPr>
                <w:rFonts w:ascii="宋体" w:hAnsi="宋体" w:cs="宋体"/>
                <w:szCs w:val="21"/>
              </w:rPr>
            </w:pPr>
            <w:r>
              <w:rPr>
                <w:rFonts w:hint="eastAsia" w:ascii="宋体" w:hAnsi="宋体" w:cs="宋体"/>
                <w:szCs w:val="21"/>
              </w:rPr>
              <w:t>慢性病综合防控工作有特色、可复制、可推广。（30分）</w:t>
            </w: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1.倡导慢性病综合防控工作与当地社会、文化等建设和公共服务、公共产品供给相结合。（10分）</w:t>
            </w:r>
          </w:p>
        </w:tc>
        <w:tc>
          <w:tcPr>
            <w:tcW w:w="4991" w:type="dxa"/>
            <w:vAlign w:val="center"/>
          </w:tcPr>
          <w:p>
            <w:pPr>
              <w:rPr>
                <w:rFonts w:ascii="宋体" w:hAnsi="宋体" w:cs="宋体"/>
                <w:szCs w:val="21"/>
              </w:rPr>
            </w:pPr>
            <w:r>
              <w:rPr>
                <w:rFonts w:hint="eastAsia" w:ascii="宋体" w:hAnsi="宋体" w:cs="宋体"/>
                <w:szCs w:val="21"/>
              </w:rPr>
              <w:t>慢性病综合防控工作与辖区社区文化建设、健康城市建设、文明创建、公共服务与公共产品等相关项目有机衔接整合，以达到1+1&gt;2的实际效果。建立协同工作机制并有效衔接达3项，10分；1-2项，5分；其余0分。</w:t>
            </w:r>
          </w:p>
          <w:p>
            <w:pPr>
              <w:rPr>
                <w:rFonts w:ascii="宋体" w:hAnsi="宋体" w:cs="宋体"/>
                <w:szCs w:val="21"/>
              </w:rPr>
            </w:pPr>
            <w:r>
              <w:rPr>
                <w:rFonts w:hint="eastAsia" w:ascii="宋体" w:hAnsi="宋体" w:cs="宋体"/>
                <w:szCs w:val="21"/>
              </w:rPr>
              <w:t>未达到提高实际效果者分数减半。</w:t>
            </w:r>
          </w:p>
        </w:tc>
        <w:tc>
          <w:tcPr>
            <w:tcW w:w="1596" w:type="dxa"/>
            <w:vAlign w:val="center"/>
          </w:tcPr>
          <w:p>
            <w:pPr>
              <w:widowControl/>
              <w:rPr>
                <w:rFonts w:ascii="宋体" w:hAnsi="宋体" w:cs="宋体"/>
                <w:kern w:val="0"/>
                <w:szCs w:val="21"/>
              </w:rPr>
            </w:pPr>
            <w:r>
              <w:rPr>
                <w:rFonts w:hint="eastAsia" w:ascii="宋体" w:hAnsi="宋体" w:cs="宋体"/>
                <w:kern w:val="0"/>
                <w:szCs w:val="21"/>
              </w:rPr>
              <w:t>查阅项目计划书与总结报告等资料，现场评估。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hint="eastAsia" w:ascii="宋体" w:hAnsi="宋体" w:cs="宋体"/>
                <w:kern w:val="0"/>
                <w:szCs w:val="21"/>
              </w:rPr>
            </w:pPr>
            <w:r>
              <w:rPr>
                <w:rFonts w:hint="eastAsia" w:ascii="宋体" w:hAnsi="宋体" w:cs="宋体"/>
                <w:kern w:val="0"/>
                <w:szCs w:val="21"/>
              </w:rPr>
              <w:t>宣传部</w:t>
            </w:r>
          </w:p>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jc w:val="center"/>
              <w:rPr>
                <w:rFonts w:ascii="宋体" w:hAnsi="宋体" w:cs="宋体"/>
                <w:kern w:val="0"/>
                <w:szCs w:val="21"/>
              </w:rPr>
            </w:pPr>
          </w:p>
        </w:tc>
        <w:tc>
          <w:tcPr>
            <w:tcW w:w="1295" w:type="dxa"/>
            <w:vMerge w:val="continue"/>
            <w:vAlign w:val="center"/>
          </w:tcPr>
          <w:p>
            <w:pPr>
              <w:jc w:val="center"/>
              <w:rPr>
                <w:rFonts w:ascii="宋体" w:hAnsi="宋体" w:cs="宋体"/>
                <w:kern w:val="0"/>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2.总结有创新、特色案例。（15分）</w:t>
            </w:r>
          </w:p>
        </w:tc>
        <w:tc>
          <w:tcPr>
            <w:tcW w:w="4991" w:type="dxa"/>
            <w:vAlign w:val="center"/>
          </w:tcPr>
          <w:p>
            <w:pPr>
              <w:rPr>
                <w:rFonts w:ascii="宋体" w:hAnsi="宋体" w:cs="宋体"/>
                <w:szCs w:val="21"/>
              </w:rPr>
            </w:pPr>
            <w:r>
              <w:rPr>
                <w:rFonts w:hint="eastAsia" w:ascii="宋体" w:hAnsi="宋体" w:cs="宋体"/>
                <w:szCs w:val="21"/>
              </w:rPr>
              <w:t>创新特色案例达2个，案例撰写符合要求15分；1个10分；其余0分。</w:t>
            </w:r>
          </w:p>
          <w:p>
            <w:pPr>
              <w:rPr>
                <w:rFonts w:ascii="宋体" w:hAnsi="宋体" w:cs="宋体"/>
                <w:szCs w:val="21"/>
              </w:rPr>
            </w:pPr>
            <w:r>
              <w:rPr>
                <w:rFonts w:hint="eastAsia" w:ascii="宋体" w:hAnsi="宋体" w:cs="宋体"/>
                <w:szCs w:val="21"/>
              </w:rPr>
              <w:t>案例撰写不符合要求者分数减半。案例撰写要求包括：主题鲜明突出防控重点、技术流程清晰逻辑性强、特色突出创新意识明显、易于被推广可操作性强。</w:t>
            </w:r>
          </w:p>
        </w:tc>
        <w:tc>
          <w:tcPr>
            <w:tcW w:w="1596" w:type="dxa"/>
            <w:vAlign w:val="center"/>
          </w:tcPr>
          <w:p>
            <w:pPr>
              <w:widowControl/>
              <w:rPr>
                <w:rFonts w:ascii="宋体" w:hAnsi="宋体" w:cs="宋体"/>
                <w:kern w:val="0"/>
                <w:szCs w:val="21"/>
              </w:rPr>
            </w:pPr>
            <w:r>
              <w:rPr>
                <w:rFonts w:hint="eastAsia" w:ascii="宋体" w:hAnsi="宋体" w:cs="宋体"/>
                <w:kern w:val="0"/>
                <w:szCs w:val="21"/>
              </w:rPr>
              <w:t>查阅案例文件，查阅该案例的相关原始素材等资料，现场评估。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hint="eastAsia" w:ascii="宋体" w:hAnsi="宋体" w:cs="宋体"/>
                <w:kern w:val="0"/>
                <w:szCs w:val="21"/>
              </w:rPr>
            </w:pPr>
            <w:r>
              <w:rPr>
                <w:rFonts w:hint="eastAsia" w:ascii="宋体" w:hAnsi="宋体" w:cs="宋体"/>
                <w:kern w:val="0"/>
                <w:szCs w:val="21"/>
              </w:rPr>
              <w:t>宣传部</w:t>
            </w:r>
          </w:p>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Merge w:val="continue"/>
            <w:vAlign w:val="center"/>
          </w:tcPr>
          <w:p>
            <w:pPr>
              <w:widowControl/>
              <w:jc w:val="center"/>
              <w:rPr>
                <w:rFonts w:ascii="宋体" w:hAnsi="宋体" w:cs="宋体"/>
                <w:kern w:val="0"/>
                <w:szCs w:val="21"/>
              </w:rPr>
            </w:pPr>
          </w:p>
        </w:tc>
        <w:tc>
          <w:tcPr>
            <w:tcW w:w="1295" w:type="dxa"/>
            <w:vMerge w:val="continue"/>
            <w:vAlign w:val="center"/>
          </w:tcPr>
          <w:p>
            <w:pPr>
              <w:widowControl/>
              <w:jc w:val="center"/>
              <w:rPr>
                <w:rFonts w:ascii="宋体" w:hAnsi="宋体" w:cs="宋体"/>
                <w:kern w:val="0"/>
                <w:szCs w:val="21"/>
              </w:rPr>
            </w:pPr>
          </w:p>
        </w:tc>
        <w:tc>
          <w:tcPr>
            <w:tcW w:w="2387" w:type="dxa"/>
            <w:vAlign w:val="center"/>
          </w:tcPr>
          <w:p>
            <w:pPr>
              <w:widowControl/>
              <w:jc w:val="center"/>
              <w:rPr>
                <w:rFonts w:ascii="宋体" w:hAnsi="宋体" w:cs="宋体"/>
                <w:kern w:val="0"/>
                <w:szCs w:val="21"/>
              </w:rPr>
            </w:pPr>
            <w:r>
              <w:rPr>
                <w:rFonts w:hint="eastAsia" w:ascii="宋体" w:hAnsi="宋体" w:cs="宋体"/>
                <w:kern w:val="0"/>
                <w:szCs w:val="21"/>
              </w:rPr>
              <w:t>3.示范区建设成功经验起到示范引领作用。（5分）</w:t>
            </w:r>
          </w:p>
        </w:tc>
        <w:tc>
          <w:tcPr>
            <w:tcW w:w="4991" w:type="dxa"/>
            <w:vAlign w:val="center"/>
          </w:tcPr>
          <w:p>
            <w:pPr>
              <w:rPr>
                <w:rFonts w:ascii="宋体" w:hAnsi="宋体" w:cs="宋体"/>
                <w:szCs w:val="21"/>
              </w:rPr>
            </w:pPr>
            <w:r>
              <w:rPr>
                <w:rFonts w:hint="eastAsia" w:ascii="宋体" w:hAnsi="宋体" w:cs="宋体"/>
                <w:szCs w:val="21"/>
              </w:rPr>
              <w:t>（1）示范区建设成功经验在本辖区得到有效推广应用2项及以上，2分；1项，1分；其余0分。</w:t>
            </w:r>
          </w:p>
          <w:p>
            <w:pPr>
              <w:rPr>
                <w:rFonts w:ascii="宋体" w:hAnsi="宋体" w:cs="宋体"/>
                <w:szCs w:val="21"/>
              </w:rPr>
            </w:pPr>
            <w:r>
              <w:rPr>
                <w:rFonts w:hint="eastAsia" w:ascii="宋体" w:hAnsi="宋体" w:cs="宋体"/>
                <w:szCs w:val="21"/>
              </w:rPr>
              <w:t>（2）示范区建设成功经验在辖区外得到有效推广应用2项及以上，3分；1项，2分；其余0分。</w:t>
            </w:r>
          </w:p>
        </w:tc>
        <w:tc>
          <w:tcPr>
            <w:tcW w:w="1596" w:type="dxa"/>
            <w:vAlign w:val="center"/>
          </w:tcPr>
          <w:p>
            <w:pPr>
              <w:widowControl/>
              <w:rPr>
                <w:rFonts w:ascii="宋体" w:hAnsi="宋体" w:cs="宋体"/>
                <w:kern w:val="0"/>
                <w:szCs w:val="21"/>
              </w:rPr>
            </w:pPr>
            <w:r>
              <w:rPr>
                <w:rFonts w:hint="eastAsia" w:ascii="宋体" w:hAnsi="宋体" w:cs="宋体"/>
                <w:kern w:val="0"/>
                <w:szCs w:val="21"/>
              </w:rPr>
              <w:t>查阅每项被推广应查看成功经验描述件、省级要求的推广文件、推广后的反响等资料，现场评估。</w:t>
            </w:r>
          </w:p>
        </w:tc>
        <w:tc>
          <w:tcPr>
            <w:tcW w:w="1124" w:type="dxa"/>
            <w:vAlign w:val="center"/>
          </w:tcPr>
          <w:p>
            <w:pPr>
              <w:widowControl/>
              <w:jc w:val="center"/>
              <w:rPr>
                <w:rFonts w:ascii="宋体" w:hAnsi="宋体" w:cs="宋体"/>
                <w:kern w:val="0"/>
                <w:szCs w:val="21"/>
              </w:rPr>
            </w:pPr>
            <w:r>
              <w:rPr>
                <w:rFonts w:hint="eastAsia" w:ascii="宋体" w:hAnsi="宋体" w:cs="宋体"/>
                <w:kern w:val="0"/>
                <w:szCs w:val="21"/>
              </w:rPr>
              <w:t>复评审办</w:t>
            </w:r>
          </w:p>
        </w:tc>
        <w:tc>
          <w:tcPr>
            <w:tcW w:w="1355" w:type="dxa"/>
            <w:vAlign w:val="center"/>
          </w:tcPr>
          <w:p>
            <w:pPr>
              <w:widowControl/>
              <w:jc w:val="center"/>
              <w:rPr>
                <w:rFonts w:ascii="宋体" w:hAnsi="宋体" w:cs="宋体"/>
                <w:kern w:val="0"/>
                <w:szCs w:val="21"/>
              </w:rPr>
            </w:pPr>
            <w:r>
              <w:rPr>
                <w:rFonts w:hint="eastAsia" w:ascii="宋体" w:hAnsi="宋体" w:cs="宋体"/>
                <w:kern w:val="0"/>
                <w:szCs w:val="21"/>
              </w:rPr>
              <w:t>卫健委</w:t>
            </w:r>
          </w:p>
        </w:tc>
        <w:tc>
          <w:tcPr>
            <w:tcW w:w="992" w:type="dxa"/>
            <w:vAlign w:val="center"/>
          </w:tcPr>
          <w:p>
            <w:pPr>
              <w:widowControl/>
              <w:jc w:val="center"/>
              <w:rPr>
                <w:rFonts w:ascii="宋体" w:hAnsi="宋体" w:cs="宋体"/>
                <w:strike/>
                <w:kern w:val="0"/>
                <w:szCs w:val="21"/>
              </w:rPr>
            </w:pPr>
            <w:r>
              <w:rPr>
                <w:rFonts w:hint="eastAsia" w:ascii="宋体" w:hAnsi="宋体" w:cs="宋体"/>
                <w:kern w:val="0"/>
                <w:szCs w:val="21"/>
              </w:rPr>
              <w:t>各成员单位</w:t>
            </w:r>
          </w:p>
        </w:tc>
        <w:tc>
          <w:tcPr>
            <w:tcW w:w="954" w:type="dxa"/>
            <w:vAlign w:val="center"/>
          </w:tcPr>
          <w:p>
            <w:pPr>
              <w:widowControl/>
              <w:jc w:val="center"/>
              <w:rPr>
                <w:rFonts w:ascii="宋体" w:hAnsi="宋体" w:cs="宋体"/>
                <w:kern w:val="0"/>
                <w:szCs w:val="21"/>
              </w:rPr>
            </w:pPr>
            <w:r>
              <w:rPr>
                <w:rFonts w:hint="eastAsia" w:ascii="宋体" w:hAnsi="宋体" w:cs="宋体"/>
                <w:kern w:val="0"/>
                <w:szCs w:val="21"/>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5" w:type="dxa"/>
            <w:vAlign w:val="center"/>
          </w:tcPr>
          <w:p>
            <w:pPr>
              <w:widowControl/>
              <w:jc w:val="center"/>
              <w:rPr>
                <w:rFonts w:ascii="宋体" w:hAnsi="宋体" w:cs="宋体"/>
                <w:b/>
                <w:kern w:val="0"/>
                <w:szCs w:val="21"/>
              </w:rPr>
            </w:pPr>
            <w:r>
              <w:rPr>
                <w:rFonts w:hint="eastAsia" w:ascii="宋体" w:hAnsi="宋体" w:cs="宋体"/>
                <w:b/>
                <w:szCs w:val="21"/>
              </w:rPr>
              <w:t>合计</w:t>
            </w:r>
          </w:p>
        </w:tc>
        <w:tc>
          <w:tcPr>
            <w:tcW w:w="1295" w:type="dxa"/>
            <w:vAlign w:val="center"/>
          </w:tcPr>
          <w:p>
            <w:pPr>
              <w:widowControl/>
              <w:jc w:val="center"/>
              <w:rPr>
                <w:rFonts w:ascii="宋体" w:hAnsi="宋体" w:cs="宋体"/>
                <w:kern w:val="0"/>
                <w:szCs w:val="21"/>
              </w:rPr>
            </w:pPr>
            <w:r>
              <w:rPr>
                <w:rFonts w:hint="eastAsia" w:ascii="宋体" w:hAnsi="宋体" w:cs="宋体"/>
                <w:kern w:val="0"/>
                <w:szCs w:val="21"/>
              </w:rPr>
              <w:t>300分</w:t>
            </w:r>
          </w:p>
        </w:tc>
        <w:tc>
          <w:tcPr>
            <w:tcW w:w="2387" w:type="dxa"/>
            <w:vAlign w:val="center"/>
          </w:tcPr>
          <w:p>
            <w:pPr>
              <w:widowControl/>
              <w:jc w:val="center"/>
              <w:rPr>
                <w:rFonts w:ascii="宋体" w:hAnsi="宋体" w:cs="宋体"/>
                <w:kern w:val="0"/>
                <w:szCs w:val="21"/>
              </w:rPr>
            </w:pPr>
          </w:p>
        </w:tc>
        <w:tc>
          <w:tcPr>
            <w:tcW w:w="4991" w:type="dxa"/>
          </w:tcPr>
          <w:p>
            <w:pPr>
              <w:rPr>
                <w:rFonts w:ascii="宋体" w:hAnsi="宋体" w:cs="宋体"/>
                <w:szCs w:val="21"/>
              </w:rPr>
            </w:pPr>
          </w:p>
        </w:tc>
        <w:tc>
          <w:tcPr>
            <w:tcW w:w="1596" w:type="dxa"/>
            <w:vAlign w:val="center"/>
          </w:tcPr>
          <w:p>
            <w:pPr>
              <w:widowControl/>
              <w:jc w:val="left"/>
              <w:rPr>
                <w:rFonts w:ascii="宋体" w:hAnsi="宋体" w:cs="宋体"/>
                <w:kern w:val="0"/>
                <w:szCs w:val="21"/>
              </w:rPr>
            </w:pPr>
          </w:p>
        </w:tc>
        <w:tc>
          <w:tcPr>
            <w:tcW w:w="1124" w:type="dxa"/>
            <w:vAlign w:val="center"/>
          </w:tcPr>
          <w:p>
            <w:pPr>
              <w:widowControl/>
              <w:jc w:val="center"/>
              <w:rPr>
                <w:rFonts w:ascii="宋体" w:hAnsi="宋体" w:cs="宋体"/>
                <w:kern w:val="0"/>
                <w:szCs w:val="21"/>
              </w:rPr>
            </w:pPr>
          </w:p>
        </w:tc>
        <w:tc>
          <w:tcPr>
            <w:tcW w:w="1355" w:type="dxa"/>
            <w:vAlign w:val="center"/>
          </w:tcPr>
          <w:p>
            <w:pPr>
              <w:widowControl/>
              <w:jc w:val="center"/>
              <w:rPr>
                <w:rFonts w:ascii="宋体" w:hAnsi="宋体" w:cs="宋体"/>
                <w:kern w:val="0"/>
                <w:szCs w:val="21"/>
              </w:rPr>
            </w:pPr>
          </w:p>
        </w:tc>
        <w:tc>
          <w:tcPr>
            <w:tcW w:w="992" w:type="dxa"/>
            <w:vAlign w:val="center"/>
          </w:tcPr>
          <w:p>
            <w:pPr>
              <w:widowControl/>
              <w:jc w:val="center"/>
              <w:rPr>
                <w:rFonts w:ascii="宋体" w:hAnsi="宋体" w:cs="宋体"/>
                <w:kern w:val="0"/>
                <w:szCs w:val="21"/>
              </w:rPr>
            </w:pPr>
          </w:p>
        </w:tc>
        <w:tc>
          <w:tcPr>
            <w:tcW w:w="954" w:type="dxa"/>
            <w:vAlign w:val="center"/>
          </w:tcPr>
          <w:p>
            <w:pPr>
              <w:widowControl/>
              <w:jc w:val="center"/>
              <w:rPr>
                <w:rFonts w:ascii="宋体" w:hAnsi="宋体" w:cs="宋体"/>
                <w:kern w:val="0"/>
                <w:szCs w:val="21"/>
              </w:rPr>
            </w:pPr>
          </w:p>
        </w:tc>
      </w:tr>
    </w:tbl>
    <w:p>
      <w:pPr>
        <w:spacing w:line="530" w:lineRule="exact"/>
        <w:rPr>
          <w:rFonts w:ascii="仿宋_GB2312" w:hAnsi="微软雅黑" w:eastAsia="仿宋_GB2312" w:cs="宋体"/>
          <w:kern w:val="0"/>
          <w:sz w:val="32"/>
          <w:szCs w:val="32"/>
        </w:rPr>
      </w:pPr>
    </w:p>
    <w:sectPr>
      <w:headerReference r:id="rId3" w:type="default"/>
      <w:footerReference r:id="rId4" w:type="default"/>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righ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10F"/>
    <w:rsid w:val="00044A64"/>
    <w:rsid w:val="00052F6E"/>
    <w:rsid w:val="000661C8"/>
    <w:rsid w:val="00066FF5"/>
    <w:rsid w:val="000709D0"/>
    <w:rsid w:val="0009040A"/>
    <w:rsid w:val="000A3299"/>
    <w:rsid w:val="000B4C97"/>
    <w:rsid w:val="000E67A9"/>
    <w:rsid w:val="000F4D3D"/>
    <w:rsid w:val="00104053"/>
    <w:rsid w:val="00111F1A"/>
    <w:rsid w:val="00114E04"/>
    <w:rsid w:val="001359CF"/>
    <w:rsid w:val="00146E9C"/>
    <w:rsid w:val="00172A27"/>
    <w:rsid w:val="00180BCE"/>
    <w:rsid w:val="001A20B6"/>
    <w:rsid w:val="001C2452"/>
    <w:rsid w:val="00201B7C"/>
    <w:rsid w:val="00212538"/>
    <w:rsid w:val="00213300"/>
    <w:rsid w:val="00227580"/>
    <w:rsid w:val="00230FF4"/>
    <w:rsid w:val="00254301"/>
    <w:rsid w:val="00272A81"/>
    <w:rsid w:val="002819C8"/>
    <w:rsid w:val="002C0ED0"/>
    <w:rsid w:val="002C5F47"/>
    <w:rsid w:val="002E3F00"/>
    <w:rsid w:val="002E69A8"/>
    <w:rsid w:val="002F0DD9"/>
    <w:rsid w:val="00307E10"/>
    <w:rsid w:val="00323B77"/>
    <w:rsid w:val="003277B0"/>
    <w:rsid w:val="0033742A"/>
    <w:rsid w:val="003410FC"/>
    <w:rsid w:val="00344F8E"/>
    <w:rsid w:val="003509E7"/>
    <w:rsid w:val="00364C87"/>
    <w:rsid w:val="003F1934"/>
    <w:rsid w:val="00406436"/>
    <w:rsid w:val="00407528"/>
    <w:rsid w:val="0043238B"/>
    <w:rsid w:val="004355E3"/>
    <w:rsid w:val="00445BD2"/>
    <w:rsid w:val="00460B64"/>
    <w:rsid w:val="00473DD1"/>
    <w:rsid w:val="00476337"/>
    <w:rsid w:val="00493639"/>
    <w:rsid w:val="004A37EA"/>
    <w:rsid w:val="004B2D04"/>
    <w:rsid w:val="004E6927"/>
    <w:rsid w:val="004F2D00"/>
    <w:rsid w:val="0050269D"/>
    <w:rsid w:val="00525C9C"/>
    <w:rsid w:val="005278FF"/>
    <w:rsid w:val="00586F5F"/>
    <w:rsid w:val="0059198C"/>
    <w:rsid w:val="005B3E63"/>
    <w:rsid w:val="005C7422"/>
    <w:rsid w:val="005E7EC2"/>
    <w:rsid w:val="005F0160"/>
    <w:rsid w:val="005F5453"/>
    <w:rsid w:val="005F5BC7"/>
    <w:rsid w:val="0061281A"/>
    <w:rsid w:val="00622A9C"/>
    <w:rsid w:val="00647426"/>
    <w:rsid w:val="006663EF"/>
    <w:rsid w:val="00692244"/>
    <w:rsid w:val="00693BF3"/>
    <w:rsid w:val="0069400C"/>
    <w:rsid w:val="006B3CC8"/>
    <w:rsid w:val="006D0F6B"/>
    <w:rsid w:val="007107AD"/>
    <w:rsid w:val="00714902"/>
    <w:rsid w:val="00716309"/>
    <w:rsid w:val="007328F6"/>
    <w:rsid w:val="0074397C"/>
    <w:rsid w:val="00743A5E"/>
    <w:rsid w:val="00746794"/>
    <w:rsid w:val="00746B77"/>
    <w:rsid w:val="007529EA"/>
    <w:rsid w:val="00760446"/>
    <w:rsid w:val="00771E5A"/>
    <w:rsid w:val="00774FC9"/>
    <w:rsid w:val="007803A2"/>
    <w:rsid w:val="00780E2B"/>
    <w:rsid w:val="0078182A"/>
    <w:rsid w:val="007A7EC4"/>
    <w:rsid w:val="007C7D76"/>
    <w:rsid w:val="008059BE"/>
    <w:rsid w:val="00816B4C"/>
    <w:rsid w:val="00831FA2"/>
    <w:rsid w:val="00846668"/>
    <w:rsid w:val="0084789F"/>
    <w:rsid w:val="00854691"/>
    <w:rsid w:val="0086779B"/>
    <w:rsid w:val="00867E32"/>
    <w:rsid w:val="008714AD"/>
    <w:rsid w:val="0088271D"/>
    <w:rsid w:val="00883639"/>
    <w:rsid w:val="00893E6B"/>
    <w:rsid w:val="008A7BBB"/>
    <w:rsid w:val="008B6793"/>
    <w:rsid w:val="008F68AA"/>
    <w:rsid w:val="00913C02"/>
    <w:rsid w:val="00940BDC"/>
    <w:rsid w:val="009655EB"/>
    <w:rsid w:val="00975CA7"/>
    <w:rsid w:val="0098735B"/>
    <w:rsid w:val="00991D8B"/>
    <w:rsid w:val="009B036C"/>
    <w:rsid w:val="009B1907"/>
    <w:rsid w:val="00A07678"/>
    <w:rsid w:val="00A1690C"/>
    <w:rsid w:val="00A233DF"/>
    <w:rsid w:val="00A27F63"/>
    <w:rsid w:val="00A32721"/>
    <w:rsid w:val="00A60688"/>
    <w:rsid w:val="00A665CA"/>
    <w:rsid w:val="00AD4B70"/>
    <w:rsid w:val="00B00DD9"/>
    <w:rsid w:val="00B34FD5"/>
    <w:rsid w:val="00B6247C"/>
    <w:rsid w:val="00B6409F"/>
    <w:rsid w:val="00BA196D"/>
    <w:rsid w:val="00C06C8D"/>
    <w:rsid w:val="00C1107F"/>
    <w:rsid w:val="00C1319F"/>
    <w:rsid w:val="00C14160"/>
    <w:rsid w:val="00C22CE6"/>
    <w:rsid w:val="00C50CDE"/>
    <w:rsid w:val="00C51A9E"/>
    <w:rsid w:val="00C53978"/>
    <w:rsid w:val="00C76EE2"/>
    <w:rsid w:val="00C9166A"/>
    <w:rsid w:val="00CA78C0"/>
    <w:rsid w:val="00CB00D0"/>
    <w:rsid w:val="00CB3611"/>
    <w:rsid w:val="00CB757F"/>
    <w:rsid w:val="00CC3E57"/>
    <w:rsid w:val="00CD7659"/>
    <w:rsid w:val="00D125FD"/>
    <w:rsid w:val="00D14787"/>
    <w:rsid w:val="00D16EA1"/>
    <w:rsid w:val="00D21F00"/>
    <w:rsid w:val="00D37419"/>
    <w:rsid w:val="00D44F99"/>
    <w:rsid w:val="00D52C16"/>
    <w:rsid w:val="00D54293"/>
    <w:rsid w:val="00D5792B"/>
    <w:rsid w:val="00D67E3E"/>
    <w:rsid w:val="00D760B2"/>
    <w:rsid w:val="00D977C5"/>
    <w:rsid w:val="00DF436B"/>
    <w:rsid w:val="00DF569E"/>
    <w:rsid w:val="00E03267"/>
    <w:rsid w:val="00E23BE4"/>
    <w:rsid w:val="00E3168A"/>
    <w:rsid w:val="00E32862"/>
    <w:rsid w:val="00E4741B"/>
    <w:rsid w:val="00E6154E"/>
    <w:rsid w:val="00E81303"/>
    <w:rsid w:val="00EB27E7"/>
    <w:rsid w:val="00EE62E5"/>
    <w:rsid w:val="00EF1CE0"/>
    <w:rsid w:val="00EF7BCC"/>
    <w:rsid w:val="00F1076A"/>
    <w:rsid w:val="00F17449"/>
    <w:rsid w:val="00F256E5"/>
    <w:rsid w:val="00F3394E"/>
    <w:rsid w:val="00F360C7"/>
    <w:rsid w:val="00F4150C"/>
    <w:rsid w:val="00F82098"/>
    <w:rsid w:val="00F84D48"/>
    <w:rsid w:val="00FA7893"/>
    <w:rsid w:val="00FB131A"/>
    <w:rsid w:val="00FB483E"/>
    <w:rsid w:val="00FF6AD7"/>
    <w:rsid w:val="013F4108"/>
    <w:rsid w:val="01586A7C"/>
    <w:rsid w:val="015C71DC"/>
    <w:rsid w:val="01AF2CF2"/>
    <w:rsid w:val="01F25688"/>
    <w:rsid w:val="023F164F"/>
    <w:rsid w:val="0256238F"/>
    <w:rsid w:val="027C490B"/>
    <w:rsid w:val="02DA3337"/>
    <w:rsid w:val="03300C42"/>
    <w:rsid w:val="038640E9"/>
    <w:rsid w:val="049A35FD"/>
    <w:rsid w:val="0504250E"/>
    <w:rsid w:val="059D6CD3"/>
    <w:rsid w:val="06DB07CA"/>
    <w:rsid w:val="075E45E7"/>
    <w:rsid w:val="0782475B"/>
    <w:rsid w:val="07E77B8A"/>
    <w:rsid w:val="08EA2670"/>
    <w:rsid w:val="093D1CF1"/>
    <w:rsid w:val="0A155128"/>
    <w:rsid w:val="0A1D47DE"/>
    <w:rsid w:val="0A443D1D"/>
    <w:rsid w:val="0ADD65DF"/>
    <w:rsid w:val="0B915705"/>
    <w:rsid w:val="0BCB3D0E"/>
    <w:rsid w:val="0C4A67E6"/>
    <w:rsid w:val="0C5210CE"/>
    <w:rsid w:val="0C825691"/>
    <w:rsid w:val="0C842223"/>
    <w:rsid w:val="0CAD3060"/>
    <w:rsid w:val="0CE75CEA"/>
    <w:rsid w:val="0CFF42C1"/>
    <w:rsid w:val="0D533E09"/>
    <w:rsid w:val="0DC6469D"/>
    <w:rsid w:val="0DD36B85"/>
    <w:rsid w:val="0EBE2F2C"/>
    <w:rsid w:val="0ED44907"/>
    <w:rsid w:val="10FF3DDB"/>
    <w:rsid w:val="1146206C"/>
    <w:rsid w:val="118042FB"/>
    <w:rsid w:val="11A01FA6"/>
    <w:rsid w:val="11E12E21"/>
    <w:rsid w:val="11F95158"/>
    <w:rsid w:val="123E42CF"/>
    <w:rsid w:val="128313C4"/>
    <w:rsid w:val="134B7E0E"/>
    <w:rsid w:val="134D5A4C"/>
    <w:rsid w:val="13CB49E5"/>
    <w:rsid w:val="13D501DA"/>
    <w:rsid w:val="1416691B"/>
    <w:rsid w:val="14253E83"/>
    <w:rsid w:val="142D5BB2"/>
    <w:rsid w:val="14BA4A5B"/>
    <w:rsid w:val="14EE3F16"/>
    <w:rsid w:val="15395272"/>
    <w:rsid w:val="15D84AE8"/>
    <w:rsid w:val="16B96A5E"/>
    <w:rsid w:val="16C364B9"/>
    <w:rsid w:val="17930005"/>
    <w:rsid w:val="180A3F85"/>
    <w:rsid w:val="18E92D14"/>
    <w:rsid w:val="191F7190"/>
    <w:rsid w:val="19F17C0A"/>
    <w:rsid w:val="1A875F33"/>
    <w:rsid w:val="1AA36760"/>
    <w:rsid w:val="1B841D96"/>
    <w:rsid w:val="1C02627F"/>
    <w:rsid w:val="1C5C68D2"/>
    <w:rsid w:val="1CC55E75"/>
    <w:rsid w:val="1CEF4BB2"/>
    <w:rsid w:val="1D905023"/>
    <w:rsid w:val="1E535DDC"/>
    <w:rsid w:val="1EC16922"/>
    <w:rsid w:val="1F3B18CA"/>
    <w:rsid w:val="1F3C7225"/>
    <w:rsid w:val="1FBF0F07"/>
    <w:rsid w:val="201436B2"/>
    <w:rsid w:val="20397785"/>
    <w:rsid w:val="206123BB"/>
    <w:rsid w:val="20F95FB3"/>
    <w:rsid w:val="21365C7E"/>
    <w:rsid w:val="2226297A"/>
    <w:rsid w:val="224D57DA"/>
    <w:rsid w:val="23643C43"/>
    <w:rsid w:val="2389617D"/>
    <w:rsid w:val="24393A93"/>
    <w:rsid w:val="24A05870"/>
    <w:rsid w:val="24E844EF"/>
    <w:rsid w:val="24F16A77"/>
    <w:rsid w:val="25AC7CF4"/>
    <w:rsid w:val="25D22443"/>
    <w:rsid w:val="262B720C"/>
    <w:rsid w:val="2651227B"/>
    <w:rsid w:val="26AC4C73"/>
    <w:rsid w:val="26B40013"/>
    <w:rsid w:val="26EC019B"/>
    <w:rsid w:val="26F32393"/>
    <w:rsid w:val="287B0B13"/>
    <w:rsid w:val="288E0A68"/>
    <w:rsid w:val="28F213D2"/>
    <w:rsid w:val="29634C39"/>
    <w:rsid w:val="2ADB1EE3"/>
    <w:rsid w:val="2B502054"/>
    <w:rsid w:val="2BAC6A98"/>
    <w:rsid w:val="2CA00162"/>
    <w:rsid w:val="2D0737AC"/>
    <w:rsid w:val="2EB13D9A"/>
    <w:rsid w:val="2F944013"/>
    <w:rsid w:val="306D6956"/>
    <w:rsid w:val="30BB31D4"/>
    <w:rsid w:val="30D47434"/>
    <w:rsid w:val="31C23C1B"/>
    <w:rsid w:val="31C6474D"/>
    <w:rsid w:val="31FA0CF6"/>
    <w:rsid w:val="325366F4"/>
    <w:rsid w:val="32915477"/>
    <w:rsid w:val="32CD3B5C"/>
    <w:rsid w:val="32EB07F4"/>
    <w:rsid w:val="33163EB9"/>
    <w:rsid w:val="33864136"/>
    <w:rsid w:val="33D412D4"/>
    <w:rsid w:val="33E72AB3"/>
    <w:rsid w:val="34105534"/>
    <w:rsid w:val="34443AE8"/>
    <w:rsid w:val="34FD5849"/>
    <w:rsid w:val="35662A36"/>
    <w:rsid w:val="36EA2FF6"/>
    <w:rsid w:val="376337F6"/>
    <w:rsid w:val="37F60D15"/>
    <w:rsid w:val="38490EDB"/>
    <w:rsid w:val="3854476B"/>
    <w:rsid w:val="38583E43"/>
    <w:rsid w:val="387839DD"/>
    <w:rsid w:val="39A07FAC"/>
    <w:rsid w:val="39CF72E0"/>
    <w:rsid w:val="3A54040E"/>
    <w:rsid w:val="3A8176DC"/>
    <w:rsid w:val="3B596E80"/>
    <w:rsid w:val="3B646025"/>
    <w:rsid w:val="3C05263A"/>
    <w:rsid w:val="3C0A75E4"/>
    <w:rsid w:val="3C253158"/>
    <w:rsid w:val="3C8F5767"/>
    <w:rsid w:val="3CDA7F51"/>
    <w:rsid w:val="3CE16A5C"/>
    <w:rsid w:val="3D5372CF"/>
    <w:rsid w:val="3DBC3C59"/>
    <w:rsid w:val="3DF859BC"/>
    <w:rsid w:val="3E7F737E"/>
    <w:rsid w:val="3EE97322"/>
    <w:rsid w:val="3F4A75BA"/>
    <w:rsid w:val="3F6C76FC"/>
    <w:rsid w:val="3FDD0D64"/>
    <w:rsid w:val="40295C43"/>
    <w:rsid w:val="404649F5"/>
    <w:rsid w:val="404D549E"/>
    <w:rsid w:val="417E213F"/>
    <w:rsid w:val="42136B71"/>
    <w:rsid w:val="42576132"/>
    <w:rsid w:val="42A75BFC"/>
    <w:rsid w:val="437B13C7"/>
    <w:rsid w:val="443B464E"/>
    <w:rsid w:val="44B33746"/>
    <w:rsid w:val="451A17E8"/>
    <w:rsid w:val="45471DDB"/>
    <w:rsid w:val="457B5B2F"/>
    <w:rsid w:val="45824AFC"/>
    <w:rsid w:val="45993299"/>
    <w:rsid w:val="46A66E3C"/>
    <w:rsid w:val="46D42230"/>
    <w:rsid w:val="4705182B"/>
    <w:rsid w:val="472A4F93"/>
    <w:rsid w:val="47EA52DD"/>
    <w:rsid w:val="480F4873"/>
    <w:rsid w:val="48F74B5E"/>
    <w:rsid w:val="491B6199"/>
    <w:rsid w:val="49333717"/>
    <w:rsid w:val="49E67C9B"/>
    <w:rsid w:val="49F66BE0"/>
    <w:rsid w:val="4A2D4422"/>
    <w:rsid w:val="4BD2028A"/>
    <w:rsid w:val="4CF367C7"/>
    <w:rsid w:val="4D014454"/>
    <w:rsid w:val="4D3C6EBC"/>
    <w:rsid w:val="4E406DF4"/>
    <w:rsid w:val="4E4751C1"/>
    <w:rsid w:val="4E646BF3"/>
    <w:rsid w:val="4E8F4100"/>
    <w:rsid w:val="4F024F4D"/>
    <w:rsid w:val="4FA63EF1"/>
    <w:rsid w:val="4FE94042"/>
    <w:rsid w:val="50C97CF4"/>
    <w:rsid w:val="513201E5"/>
    <w:rsid w:val="51A019A5"/>
    <w:rsid w:val="51FB5D9B"/>
    <w:rsid w:val="52461622"/>
    <w:rsid w:val="53AD049A"/>
    <w:rsid w:val="53DF1533"/>
    <w:rsid w:val="543E5F60"/>
    <w:rsid w:val="549B46A9"/>
    <w:rsid w:val="54AE1EAA"/>
    <w:rsid w:val="56066F89"/>
    <w:rsid w:val="56114218"/>
    <w:rsid w:val="56535AA6"/>
    <w:rsid w:val="56D505DB"/>
    <w:rsid w:val="56F67353"/>
    <w:rsid w:val="57033D31"/>
    <w:rsid w:val="57C8538F"/>
    <w:rsid w:val="582E44D5"/>
    <w:rsid w:val="58576070"/>
    <w:rsid w:val="58E338F6"/>
    <w:rsid w:val="59A6378B"/>
    <w:rsid w:val="5A054B49"/>
    <w:rsid w:val="5A9C5284"/>
    <w:rsid w:val="5ADD6E10"/>
    <w:rsid w:val="5C1304A5"/>
    <w:rsid w:val="5C4F7A1C"/>
    <w:rsid w:val="5C903EBD"/>
    <w:rsid w:val="5D355E4E"/>
    <w:rsid w:val="5EF74351"/>
    <w:rsid w:val="5F174746"/>
    <w:rsid w:val="5F7C22EE"/>
    <w:rsid w:val="5FEA24A8"/>
    <w:rsid w:val="60865FA1"/>
    <w:rsid w:val="60D83ACD"/>
    <w:rsid w:val="61DC77A4"/>
    <w:rsid w:val="624C72AF"/>
    <w:rsid w:val="625D64E3"/>
    <w:rsid w:val="626A61E5"/>
    <w:rsid w:val="62C81F48"/>
    <w:rsid w:val="62CE447B"/>
    <w:rsid w:val="62D60D0E"/>
    <w:rsid w:val="637F3715"/>
    <w:rsid w:val="64791B02"/>
    <w:rsid w:val="64A16003"/>
    <w:rsid w:val="64AD09B1"/>
    <w:rsid w:val="64C92A5C"/>
    <w:rsid w:val="65E335B7"/>
    <w:rsid w:val="65F00E72"/>
    <w:rsid w:val="661922EC"/>
    <w:rsid w:val="663822BD"/>
    <w:rsid w:val="668C3A5C"/>
    <w:rsid w:val="66C678F5"/>
    <w:rsid w:val="66C96C70"/>
    <w:rsid w:val="66F44723"/>
    <w:rsid w:val="66FB2FA0"/>
    <w:rsid w:val="673B16E3"/>
    <w:rsid w:val="679D1834"/>
    <w:rsid w:val="67E14456"/>
    <w:rsid w:val="685A1969"/>
    <w:rsid w:val="68B64304"/>
    <w:rsid w:val="69095BAC"/>
    <w:rsid w:val="694A78E0"/>
    <w:rsid w:val="6A9943C2"/>
    <w:rsid w:val="6C2B5481"/>
    <w:rsid w:val="6C347EED"/>
    <w:rsid w:val="6C6D03CF"/>
    <w:rsid w:val="6CAE606F"/>
    <w:rsid w:val="6CBB24BB"/>
    <w:rsid w:val="6CF07E71"/>
    <w:rsid w:val="6D0D090B"/>
    <w:rsid w:val="6D3B657C"/>
    <w:rsid w:val="6DC04437"/>
    <w:rsid w:val="6E760C9B"/>
    <w:rsid w:val="6F6350B1"/>
    <w:rsid w:val="6F703EE6"/>
    <w:rsid w:val="6FB43BD9"/>
    <w:rsid w:val="6FF71EF5"/>
    <w:rsid w:val="70223A6B"/>
    <w:rsid w:val="70416514"/>
    <w:rsid w:val="705016B2"/>
    <w:rsid w:val="70652C7F"/>
    <w:rsid w:val="708043F1"/>
    <w:rsid w:val="70865004"/>
    <w:rsid w:val="70B515F7"/>
    <w:rsid w:val="718E3864"/>
    <w:rsid w:val="71C0736B"/>
    <w:rsid w:val="72D9455C"/>
    <w:rsid w:val="733D0EDA"/>
    <w:rsid w:val="737A1726"/>
    <w:rsid w:val="749B7312"/>
    <w:rsid w:val="751C0B92"/>
    <w:rsid w:val="751C6AC8"/>
    <w:rsid w:val="75366207"/>
    <w:rsid w:val="754D0288"/>
    <w:rsid w:val="75A63A58"/>
    <w:rsid w:val="75BD388E"/>
    <w:rsid w:val="766C2BF1"/>
    <w:rsid w:val="76B44CCE"/>
    <w:rsid w:val="76B96C39"/>
    <w:rsid w:val="77994278"/>
    <w:rsid w:val="77BD5407"/>
    <w:rsid w:val="77C550AA"/>
    <w:rsid w:val="77C60171"/>
    <w:rsid w:val="77FD0F38"/>
    <w:rsid w:val="78675C95"/>
    <w:rsid w:val="78F742BB"/>
    <w:rsid w:val="796D2467"/>
    <w:rsid w:val="79731BF0"/>
    <w:rsid w:val="797361AF"/>
    <w:rsid w:val="797F7DA9"/>
    <w:rsid w:val="79B109FE"/>
    <w:rsid w:val="79E34491"/>
    <w:rsid w:val="7A211787"/>
    <w:rsid w:val="7AA44CFF"/>
    <w:rsid w:val="7B322C44"/>
    <w:rsid w:val="7B345AA4"/>
    <w:rsid w:val="7B8E1B49"/>
    <w:rsid w:val="7C1A2072"/>
    <w:rsid w:val="7CCC0C82"/>
    <w:rsid w:val="7D08666A"/>
    <w:rsid w:val="7D24580A"/>
    <w:rsid w:val="7D2F05FD"/>
    <w:rsid w:val="7D7B4EA2"/>
    <w:rsid w:val="7D9856D1"/>
    <w:rsid w:val="7DE73DD9"/>
    <w:rsid w:val="7E0C15EC"/>
    <w:rsid w:val="7E222B87"/>
    <w:rsid w:val="7F5E2E4C"/>
    <w:rsid w:val="7F9C3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rPr>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customStyle="1" w:styleId="8">
    <w:name w:val="正文文本 Char"/>
    <w:link w:val="2"/>
    <w:qFormat/>
    <w:uiPriority w:val="0"/>
    <w:rPr>
      <w:rFonts w:eastAsia="宋体"/>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0EC14-4ABF-4B83-8807-8F96FEFEEB05}">
  <ds:schemaRefs/>
</ds:datastoreItem>
</file>

<file path=docProps/app.xml><?xml version="1.0" encoding="utf-8"?>
<Properties xmlns="http://schemas.openxmlformats.org/officeDocument/2006/extended-properties" xmlns:vt="http://schemas.openxmlformats.org/officeDocument/2006/docPropsVTypes">
  <Template>Normal</Template>
  <Pages>1</Pages>
  <Words>1720</Words>
  <Characters>9806</Characters>
  <Lines>81</Lines>
  <Paragraphs>23</Paragraphs>
  <TotalTime>3</TotalTime>
  <ScaleCrop>false</ScaleCrop>
  <LinksUpToDate>false</LinksUpToDate>
  <CharactersWithSpaces>11503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2019-12-31T09:08:00Z</dcterms:created>
  <dc:creator>蔚然</dc:creator>
  <cp:lastModifiedBy>瓦夏</cp:lastModifiedBy>
  <cp:lastPrinted>2020-03-21T04:15:00Z</cp:lastPrinted>
  <dcterms:modified xsi:type="dcterms:W3CDTF">2020-07-08T01:40:18Z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