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宋体" w:hAnsi="宋体" w:eastAsia="宋体" w:cs="宋体"/>
                <w:b/>
                <w:bCs/>
                <w:sz w:val="52"/>
                <w:szCs w:val="52"/>
                <w:lang w:val="en-US" w:eastAsia="zh-CN"/>
              </w:rPr>
            </w:pPr>
            <w:r>
              <w:rPr>
                <w:rFonts w:ascii="宋体" w:hAnsi="宋体" w:eastAsia="宋体" w:cs="宋体"/>
                <w:b/>
                <w:sz w:val="52"/>
              </w:rPr>
              <w:t>2022年度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南京市医疗保障局高淳分局</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部门决算公开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部门</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w:t>
      </w:r>
      <w:r>
        <w:rPr>
          <w:rFonts w:hint="eastAsia" w:ascii="仿宋" w:hAnsi="仿宋" w:eastAsia="仿宋" w:cs="仿宋"/>
          <w:lang w:val="en-US" w:eastAsia="zh-CN"/>
        </w:rPr>
        <w:t>2</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2022年度</w:t>
      </w:r>
      <w:r>
        <w:rPr>
          <w:rFonts w:ascii="黑体" w:hAnsi="黑体" w:eastAsia="黑体" w:cs="黑体"/>
        </w:rPr>
        <w:t>部门决算表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eastAsia="zh-CN"/>
        </w:rPr>
        <w:t>财政拨款“三公”经费、会议费和培训费支出决算表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w:t>
      </w:r>
      <w:r>
        <w:rPr>
          <w:rFonts w:hint="eastAsia" w:ascii="仿宋" w:hAnsi="仿宋" w:eastAsia="仿宋" w:cs="仿宋"/>
          <w:lang w:val="en-US" w:eastAsia="zh-CN"/>
        </w:rPr>
        <w:t>财政拨款</w:t>
      </w:r>
      <w:r>
        <w:rPr>
          <w:rFonts w:hint="eastAsia" w:ascii="仿宋" w:hAnsi="仿宋" w:eastAsia="仿宋" w:cs="仿宋"/>
        </w:rPr>
        <w:t>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2022年度</w:t>
      </w:r>
      <w:r>
        <w:rPr>
          <w:rFonts w:ascii="黑体" w:hAnsi="黑体" w:eastAsia="黑体" w:cs="黑体"/>
        </w:rPr>
        <w:t>部门决算情况说明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承担高淳区城镇职工和城乡居民基本医疗保险、生育保险、大病保险、医疗保障监督、医疗救助、药品和医疗服务价格管理等医疗保障工作。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eastAsia="黑体" w:cs="黑体"/>
        </w:rPr>
        <w:t>部门</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本部门内设机构包括综合科和业务科。本部门无下属单位。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从决算单位构成看，纳入本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汇总决算编制范围的预算单位共计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南京市医疗保障局高淳分局。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2022</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（一）发挥党建引领作用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加强政治理论学习。研究制定2022年分局党支部理论学习计划，采取集中学习、线上自学、专题研讨、现场教学等方式，引导党员干部进一步增强“四个意识”、坚定“四个自信”、切实做到“两个维护”，先后开展支部书记上党课3次，集中学习12次。二是深入开展走访调研。落实为民办实事走村入户“百村百事”大走访大落实行动、“四上企业”、“月月都是企业服务月”等走访活动，深入区内企业、社区（村）、困难家庭开展走访调研15次，走访企业12家、群众90余户，收集掌握群众和企业存在的困难9项，帮助解决实际问题4个，制定5项应对疫情助企纾困举措予以帮扶解决。年内还申请开通古柏街道卫棠村、双红村2个村卫生室职工医保门诊统筹服务资质，进一步便捷群众享受医药服务。三是发挥先锋模范作用。全体党员干部下沉防控一线，协助高速公路卡点、漆桥街道双联村开展核酸检测、检查登记等工作，共计下沉65人次、党员50人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（二）加大基金监管力度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开展集中宣传月活动。4月在全区范围内开展以“织密基金监管网共筑医保防护线”为主题的集中宣传月活动。印制医保基金“五不可”、“十严禁”等宣传海报3000份，制作打击欺诈骗保宣传视频下发至区内259家定点医药机构，区内定点医药机构宣传率100%。二是组织违规收费自查自纠。组织定点医疗机构以2020年1月至2022年3月期间发生的职工和居民医保结算数据为基础，重点围绕高值医用耗材使用金额排名前10的临床专科、肿瘤靶向药，负面清单等开展自查自纠工作，追回7家定点医疗机构违规使用医保基金231.29万元。三是处理“三假”疑似数据病案。联合区医保中心稽核部对违规使用医保基金的19家医疗机构进行约谈，对病案抽查中发现的违规使用医保基金27.57万元近期予以全部追回。四是开展市级基金监督抽查及联合抽查复查。落实2022年打击欺诈骗保基金专项整治行动工作要求，组织对高淳人民医院、高淳区妇幼保健院、高淳区淳溪中心卫生院进行现场检查及申诉确认，追回及处罚三家医院违规使用医保基金608.54万元。联合区市场监督管理局、区医保中心，对16家定点零售药店、2家卫生室、2家民营医疗机构和1家护理院开展监督检查，追回10家定点医药机构违规使用医保基金2.86万元，2家定点零售药店作中止医保服务协议1个月处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（三）推进失能保险规范年建设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按照市局《关于开展南京市失能人员照护保险规范建设年工作的通知》要求，建立三级稽查机制，即窗口一级检查、承办机构二级稽查、分局三级抽查机制，推进失能保险制度制度化、标准化、规划化建设。严把服务机构的准入退出关口，加强对新机构服务年限、服务能力、服务质量等方面的审核，对符合条件的新机构实行试用期派单考核机制。年内开展月度稽核11次，稽核重度失能人员累计2525人，对存在问题的照护机构通报18家，约谈整改8家，清退处罚8家，剔除已享受服务但不符合条件的参保人共69人，追回失能保险基金约12万元。全区已享受服务的累计2565人（其中：入驻机构照护的累计558人，居家照护累计2006人，医疗机构1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（四）开展“15分钟医保服务圈”示范点创建工作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根据省、市“15分钟医保服务圈”示范点全覆盖建设要求，区政府召开专题会议，研究医保公共服务“15分钟医保服务圈”示范点创建工作，下发《高淳区医保公共服务“15分钟医保服务圈”示范点创建工作方案》，成立工作专班，加强统筹协调及细化责任分工。分局牵头带领专班成员赴溧水、江北新区学习示范点创建先进经验及成果。深入淳溪、东坝等区内8个街（镇）为民服务中心指导规范示范点大厅的设计审定、设施采购、服务事项下沉等“15分钟医保服务圈”示范点创建工作。着力提高经办服务水平，组织窗口大厅人员就服务事项、经办流程等轮流到医保中心进行跟班学习，并积极协调落实省、市上级补助资金。目前已基本建设完成。</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（五）落实药品（耗材）带量采购及医药服务工作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落实药品（耗材）集中带量采购。组织好区内公立医疗机构完成国家和省级药品（耗材）多批次的集中带量采购任务和按时结算工作，积极推进“医保便民药店”建设工作。二是开展新医药创新产品挂网培训。邀请市医疗保障综合服务中心相关负责人来淳培训挂网途径、申报、采购管理等流程，高淳区22家生物医药产业链企业、12家公立医疗机构代表参加现场培训，40家生物医药产业链企业参加线上培训。南京市一正医疗科技有限公司产品（精密型）集尿袋进入市生物医药创新产品名录。三是开通部分医疗机构门特服务资质。联合区医保中心，根据调整定点医疗机构门特服务范围的相关条件及程序，对申报机构开展条件核验、现场评估及推荐上报工作，区内10家一级以上定点医疗机构开通门特服务资质。四是推进定点医疗机构DRG改革运行。在完成区人民医院和区中医院实施DRG改革的基础上，有序推进其它18家DRG改革观察医院的历史病案上传、接口改造、学习培训等工作，完成DRG改革前期准备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（六）强化医疗救助托底保障工作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完善特困供养对象医疗救助政策。着力减轻年度个人自付费用（含医保范围外）较高的特困供养对象的医疗负担，分局协同区民政局、区财政局修订完善特困供养对象医疗补助发放方案，2020年12月1日至2021年11月30日期间符合条件享受医疗补助的特困供养人员累计1238人，共计补助97.57万元，实现了我区特困供养人员最终个人自付总费用（含医保范围外）低于7000元。二是协调配合困难人员补充医疗保险建立工作。广泛开展“南京宁惠保”三期的宣传推广，结合医保政策宣传“六走进”活动走进区人民医院、漆桥街道双联村、淳溪街道淳西社区、桠溪街道瑶宕村，着重就补充保险不限职业、不限年龄、不限户籍、不限既往病史、待遇保障更好等普惠特性特点开展宣传，发放宣传资料800余份，提高群众的知晓度、增强吸引力、扩大覆盖面，进一步满足人民群众多样化医疗保障需求。全区共救助困难人员16754人，救助人次为212053人次，支出医疗救助费用为3779.1万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（七）推进医保信息化建设工作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推进医保信息业务编码在金保二期运行校验工作。推进全区定点医疗机构有关医保信息业务编码在金保二期运行校验工作，对全区一级及以下医疗机构和定点零售药店的编码进行运行校验工作，及时跟进解决出现的问题。</w:t>
      </w:r>
      <w:bookmarkStart w:id="0" w:name="_GoBack"/>
      <w:r>
        <w:rPr>
          <w:rFonts w:ascii="仿宋" w:hAnsi="仿宋" w:eastAsia="仿宋" w:cs="仿宋"/>
        </w:rPr>
        <w:t>二是推广医保高铁使用范围。逐步将医保高铁使用范围覆盖到二级及以下医疗机构，确保医保领域全覆盖，实现阳光监管平台、医保高铁权限应开尽开。三是完成医保信息平台升级迁移工作。根据市局《关于做好南京医保信息平台升级迁移相关工作的通知》要求，统筹推进升级</w:t>
      </w:r>
      <w:bookmarkEnd w:id="0"/>
      <w:r>
        <w:rPr>
          <w:rFonts w:ascii="仿宋" w:hAnsi="仿宋" w:eastAsia="仿宋" w:cs="仿宋"/>
        </w:rPr>
        <w:t>迁移前、中、后相关工作，组织区内155家定点医疗机构和104家定点零售药店按期完成医保平台升级迁移的测试、验证、仿真演练，按时间节点完成各医药机构的验收工作。</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南京市医疗保障局高淳分局</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2022</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部门</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widowControl w:val="0"/>
              <w:ind w:left="0" w:right="0" w:firstLine="0"/>
              <w:jc w:val="left"/>
              <w:textAlignment w:val="auto"/>
              <w:rPr>
                <w:rFonts w:hint="eastAsia" w:ascii="仿宋" w:hAnsi="仿宋" w:eastAsia="仿宋" w:cs="仿宋"/>
                <w:color w:val="000000"/>
                <w:sz w:val="20"/>
              </w:rPr>
            </w:pPr>
          </w:p>
        </w:tc>
        <w:tc>
          <w:tcPr>
            <w:tcW w:w="1777"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color w:val="000000"/>
                <w:sz w:val="22"/>
                <w:szCs w:val="22"/>
                <w:lang w:eastAsia="ar-SA"/>
              </w:rPr>
              <w:t>南京市医疗保障局高淳分局</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ascii="仿宋" w:hAnsi="仿宋" w:eastAsia="仿宋" w:cs="仿宋"/>
                <w:color w:val="000000"/>
                <w:sz w:val="22"/>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5,328.59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247.12</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5,030.97</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52.94</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5,331.64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5,331.03</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0.61</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777"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376"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826"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5,331.64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5,331.64</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注：本表反映本年度的总收支和年末结转结余情况。本表金额单位转换时可能存在尾数误差。</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8"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widowControl w:val="0"/>
              <w:jc w:val="center"/>
              <w:rPr>
                <w:rFonts w:hint="eastAsia" w:ascii="仿宋" w:hAnsi="仿宋" w:eastAsia="仿宋" w:cs="仿宋"/>
              </w:rPr>
            </w:pPr>
          </w:p>
        </w:tc>
        <w:tc>
          <w:tcPr>
            <w:tcW w:w="1716" w:type="dxa"/>
            <w:vAlign w:val="center"/>
          </w:tcPr>
          <w:p>
            <w:pPr>
              <w:pStyle w:val="22"/>
              <w:widowControl w:val="0"/>
              <w:jc w:val="center"/>
              <w:rPr>
                <w:rFonts w:hint="eastAsia" w:ascii="仿宋" w:hAnsi="仿宋" w:eastAsia="仿宋" w:cs="仿宋"/>
              </w:rPr>
            </w:pPr>
          </w:p>
        </w:tc>
        <w:tc>
          <w:tcPr>
            <w:tcW w:w="1728" w:type="dxa"/>
            <w:vAlign w:val="center"/>
          </w:tcPr>
          <w:p>
            <w:pPr>
              <w:pStyle w:val="22"/>
              <w:widowControl w:val="0"/>
              <w:jc w:val="center"/>
              <w:rPr>
                <w:rFonts w:hint="eastAsia" w:ascii="仿宋" w:hAnsi="仿宋" w:eastAsia="仿宋" w:cs="仿宋"/>
              </w:rPr>
            </w:pPr>
          </w:p>
        </w:tc>
        <w:tc>
          <w:tcPr>
            <w:tcW w:w="1686" w:type="dxa"/>
            <w:vAlign w:val="center"/>
          </w:tcPr>
          <w:p>
            <w:pPr>
              <w:pStyle w:val="22"/>
              <w:widowControl w:val="0"/>
              <w:jc w:val="center"/>
              <w:rPr>
                <w:rFonts w:hint="eastAsia" w:ascii="仿宋" w:hAnsi="仿宋" w:eastAsia="仿宋" w:cs="仿宋"/>
              </w:rPr>
            </w:pPr>
          </w:p>
        </w:tc>
        <w:tc>
          <w:tcPr>
            <w:tcW w:w="3207" w:type="dxa"/>
            <w:gridSpan w:val="2"/>
            <w:vAlign w:val="center"/>
          </w:tcPr>
          <w:p>
            <w:pPr>
              <w:pStyle w:val="22"/>
              <w:widowControl w:val="0"/>
              <w:jc w:val="center"/>
              <w:rPr>
                <w:rFonts w:hint="eastAsia" w:ascii="仿宋" w:hAnsi="仿宋" w:eastAsia="仿宋" w:cs="仿宋"/>
              </w:rPr>
            </w:pPr>
          </w:p>
        </w:tc>
        <w:tc>
          <w:tcPr>
            <w:tcW w:w="1263" w:type="dxa"/>
            <w:vAlign w:val="center"/>
          </w:tcPr>
          <w:p>
            <w:pPr>
              <w:pStyle w:val="22"/>
              <w:widowControl w:val="0"/>
              <w:jc w:val="center"/>
              <w:rPr>
                <w:rFonts w:hint="eastAsia" w:ascii="仿宋" w:hAnsi="仿宋" w:eastAsia="仿宋" w:cs="仿宋"/>
              </w:rPr>
            </w:pP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2703"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728"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8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7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71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5,331.64</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5,328.59</w:t>
            </w:r>
          </w:p>
        </w:tc>
        <w:tc>
          <w:tcPr>
            <w:tcW w:w="1686"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widowControl w:val="0"/>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0"/>
                <w:szCs w:val="20"/>
              </w:rPr>
            </w:pPr>
            <w:r>
              <w:rPr>
                <w:rFonts w:hint="eastAsia" w:ascii="仿宋" w:hAnsi="仿宋" w:eastAsia="仿宋" w:cs="仿宋"/>
                <w:sz w:val="20"/>
                <w:szCs w:val="20"/>
              </w:rPr>
              <w:t>3.04</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247.12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247.12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20828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退役军人管理事务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25.23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25.23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2082899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其他退役军人事务管理支出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25.23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25.23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221.89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221.89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221.89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221.89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5,031.58</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5,028.54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3.04</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医疗救助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4,650.57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4,650.57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城乡医疗救助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4,553.00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4,553.00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2101399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其他医疗救助支出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97.57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97.57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优抚对象医疗</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94.65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94.65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2101401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优抚对象医疗补助</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94.65</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94.65</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医疗保障管理事务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286.37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283.32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3.04</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2101501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183.91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183.87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0.04</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2101504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信息化建设</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4.51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医疗保障政策管理</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8.61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8.61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2101599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其他医疗保障管理事务支出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89.34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86.34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3.00</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52.94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52.94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52.94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52.94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16.72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16.72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36.22</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r>
              <w:rPr>
                <w:rFonts w:hint="eastAsia" w:ascii="仿宋" w:hAnsi="仿宋" w:eastAsia="仿宋" w:cs="仿宋"/>
                <w:sz w:val="20"/>
                <w:szCs w:val="20"/>
              </w:rPr>
              <w:t>36.22</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0"/>
                <w:szCs w:val="20"/>
              </w:rPr>
            </w:pP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本表反映本年度取得的各项收入情况。本表金额单位转换时可能存在尾数误差。</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9" w:type="default"/>
          <w:pgSz w:w="16838" w:h="11906" w:orient="landscape"/>
          <w:pgMar w:top="720" w:right="113" w:bottom="720" w:left="11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widowControl w:val="0"/>
              <w:jc w:val="center"/>
              <w:rPr>
                <w:rFonts w:hint="eastAsia" w:ascii="仿宋" w:hAnsi="仿宋" w:eastAsia="仿宋" w:cs="仿宋"/>
              </w:rPr>
            </w:pPr>
          </w:p>
        </w:tc>
        <w:tc>
          <w:tcPr>
            <w:tcW w:w="2164" w:type="dxa"/>
            <w:vAlign w:val="center"/>
          </w:tcPr>
          <w:p>
            <w:pPr>
              <w:pStyle w:val="22"/>
              <w:widowControl w:val="0"/>
              <w:spacing w:before="0" w:after="0"/>
              <w:ind w:firstLine="0"/>
              <w:jc w:val="center"/>
              <w:rPr>
                <w:rFonts w:hint="eastAsia" w:ascii="仿宋" w:hAnsi="仿宋" w:eastAsia="仿宋" w:cs="仿宋"/>
                <w:sz w:val="20"/>
              </w:rPr>
            </w:pPr>
          </w:p>
        </w:tc>
        <w:tc>
          <w:tcPr>
            <w:tcW w:w="1897" w:type="dxa"/>
            <w:vAlign w:val="center"/>
          </w:tcPr>
          <w:p>
            <w:pPr>
              <w:pStyle w:val="22"/>
              <w:widowControl w:val="0"/>
              <w:spacing w:before="0" w:after="0"/>
              <w:ind w:firstLine="0"/>
              <w:jc w:val="center"/>
              <w:rPr>
                <w:rFonts w:hint="eastAsia" w:ascii="仿宋" w:hAnsi="仿宋" w:eastAsia="仿宋" w:cs="仿宋"/>
                <w:sz w:val="20"/>
              </w:rPr>
            </w:pPr>
          </w:p>
        </w:tc>
        <w:tc>
          <w:tcPr>
            <w:tcW w:w="1739" w:type="dxa"/>
            <w:vAlign w:val="center"/>
          </w:tcPr>
          <w:p>
            <w:pPr>
              <w:pStyle w:val="22"/>
              <w:widowControl w:val="0"/>
              <w:spacing w:before="0" w:after="0"/>
              <w:ind w:firstLine="0"/>
              <w:jc w:val="center"/>
              <w:rPr>
                <w:rFonts w:hint="eastAsia" w:ascii="仿宋" w:hAnsi="仿宋" w:eastAsia="仿宋" w:cs="仿宋"/>
                <w:sz w:val="20"/>
              </w:rPr>
            </w:pPr>
          </w:p>
        </w:tc>
        <w:tc>
          <w:tcPr>
            <w:tcW w:w="1715" w:type="dxa"/>
            <w:vAlign w:val="center"/>
          </w:tcPr>
          <w:p>
            <w:pPr>
              <w:pStyle w:val="22"/>
              <w:widowControl w:val="0"/>
              <w:spacing w:before="0" w:after="0"/>
              <w:ind w:firstLine="0"/>
              <w:jc w:val="center"/>
              <w:rPr>
                <w:rFonts w:hint="eastAsia" w:ascii="仿宋" w:hAnsi="仿宋" w:eastAsia="仿宋" w:cs="仿宋"/>
                <w:sz w:val="20"/>
              </w:rPr>
            </w:pP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3059"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1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927"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1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897"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39"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15"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3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26"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21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5,331.03</w:t>
            </w:r>
          </w:p>
        </w:tc>
        <w:tc>
          <w:tcPr>
            <w:tcW w:w="189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236.58</w:t>
            </w:r>
          </w:p>
        </w:tc>
        <w:tc>
          <w:tcPr>
            <w:tcW w:w="173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5,094.45</w:t>
            </w:r>
          </w:p>
        </w:tc>
        <w:tc>
          <w:tcPr>
            <w:tcW w:w="171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247.12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247.12</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20828</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退役军人管理事务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25.23</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25.23</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2082899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其他退役军人事务管理支出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25.23</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25.23</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221.89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221.89</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2089999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221.89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221.89</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卫生健康支出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5,030.97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183.65</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4,847.33</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21013</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医疗救助</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4,650.57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4,650.57</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2101301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城乡医疗救助</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4,553.00</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4,553.00</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2101399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其他医疗救助支出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97.57</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97.57</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21014</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优抚对象医疗</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94.65</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94.65</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2101401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优抚对象医疗补助</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94.65</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94.65</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医疗保障管理事务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285.76</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183.65</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102.11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2101501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183.65</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183.65</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2101504</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信息化建设</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2101505</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医疗保障政策管理</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8.61</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8.61</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2101599</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其他医疗保障管理事务支出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88.99</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88.99</w:t>
            </w: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52.94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52.94</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52.94</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52.94</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16.72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16.72</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3927"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36.22</w:t>
            </w:r>
          </w:p>
        </w:tc>
        <w:tc>
          <w:tcPr>
            <w:tcW w:w="189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36.22</w:t>
            </w:r>
          </w:p>
        </w:tc>
        <w:tc>
          <w:tcPr>
            <w:tcW w:w="173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715"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63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c>
          <w:tcPr>
            <w:tcW w:w="142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注：本表反映本年度各项支出情况。本表金额单位转换时可能存在尾数误差。</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10" w:type="default"/>
          <w:pgSz w:w="16838" w:h="11906" w:orient="landscape"/>
          <w:pgMar w:top="720" w:right="567" w:bottom="7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sz w:val="22"/>
                <w:szCs w:val="22"/>
              </w:rPr>
              <w:t>南京市医疗保障局高淳分局</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5,328.59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247.12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247.12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5,028.32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5,028.32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5,328.59</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5,328.37</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5,328.37</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5,328.59</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5,328.59</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5,328.59</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5,328.37</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236.58</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5,091.79</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247.12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247.12</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20828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退役军人管理事务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2082899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其他退役军人事务管理支出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221.89</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221.89</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5,028.32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4,844.67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医疗救助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4,650.57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4,650.57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城乡医疗救助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2101399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其他医疗救助支出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97.57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97.57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优抚对象医疗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2101401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优抚对象医疗补助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94.65</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医疗保障管理事务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283.10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99.46</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2101504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信息化建设</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医疗保障政策管理</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8.61</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2101599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其他医疗保障管理事务支出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86.34</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注：本表反映本年度一般公共预算财政拨款、政府性基金预算财政拨款和国有资本经营预算财政拨款支出情况。本表金额单位转换时可能存在尾数误差。</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sz w:val="22"/>
                <w:szCs w:val="22"/>
              </w:rPr>
              <w:t>南京市医疗保障局高淳分局</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230.27</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注：本表反映本年度一般公共预算财政拨款、政府性基金预算财政拨款和国有资本经营预算财政拨款基本支出情况。本表金额单位转换时可能存在尾数误差。</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5,328.37</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236.58</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5,091.79</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247.12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247.12</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20828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退役军人管理事务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2082899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其他退役军人事务管理支出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221.89</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221.89</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5,028.32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4,844.67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医疗救助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4,650.57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4,650.57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城乡医疗救助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4,553.00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4,553.00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2101399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其他医疗救助支出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97.57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优抚对象医疗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2101401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优抚对象医疗补助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94.65</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283.10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99.46</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183.65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2101504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信息化建设</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医疗保障政策管理</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8.61</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2101599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其他医疗保障管理事务支出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86.34</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236.58</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230.27</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94.34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注：本表反映本年度一般公共预算财政拨款基本支出情况。本表金额单位转换时可能存在尾数误差。</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en-US" w:eastAsia="zh-CN" w:bidi="zh-CN"/>
              </w:rPr>
              <w:t>财政拨款“三公”经费、会议费和培训费支出决算表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0.92</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0.92</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0.25</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0.92</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0.92</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0.25</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6</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73</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423</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b w:val="0"/>
          <w:bCs w:val="0"/>
          <w:sz w:val="22"/>
          <w:szCs w:val="22"/>
        </w:rPr>
        <w:t>。</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6"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本部门无政府性基金预算收入支出决算，故本表为空。</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7"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ascii="仿宋" w:hAnsi="仿宋" w:eastAsia="仿宋" w:cs="仿宋"/>
          <w:sz w:val="22"/>
        </w:rPr>
        <w:t>本部门无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cs="宋体"/>
                <w:b/>
                <w:bCs/>
                <w:color w:val="000000"/>
                <w:kern w:val="0"/>
                <w:sz w:val="36"/>
                <w:szCs w:val="36"/>
                <w:lang w:val="en-US" w:eastAsia="ar-SA" w:bidi="zh-CN"/>
              </w:rPr>
              <w:t>财政拨款</w:t>
            </w:r>
            <w:r>
              <w:rPr>
                <w:rFonts w:hint="eastAsia" w:ascii="宋体" w:hAnsi="宋体" w:eastAsia="宋体" w:cs="宋体"/>
                <w:b/>
                <w:bCs/>
                <w:color w:val="000000"/>
                <w:kern w:val="0"/>
                <w:sz w:val="36"/>
                <w:szCs w:val="36"/>
                <w:lang w:val="zh-CN" w:eastAsia="ar-SA" w:bidi="zh-CN"/>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6.31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1.39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0.99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0.54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0.28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0.25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0.55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1.49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0.82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w:t>
      </w:r>
      <w:r>
        <w:rPr>
          <w:rFonts w:hint="eastAsia" w:ascii="仿宋" w:hAnsi="仿宋" w:eastAsia="仿宋" w:cs="仿宋"/>
          <w:b w:val="0"/>
          <w:bCs w:val="0"/>
          <w:sz w:val="22"/>
          <w:szCs w:val="22"/>
          <w:lang w:val="en-US" w:eastAsia="zh-CN"/>
        </w:rPr>
        <w:t>财政拨款</w:t>
      </w:r>
      <w:r>
        <w:rPr>
          <w:rFonts w:hint="eastAsia" w:ascii="仿宋" w:hAnsi="仿宋" w:eastAsia="仿宋" w:cs="仿宋"/>
          <w:b w:val="0"/>
          <w:bCs w:val="0"/>
          <w:sz w:val="22"/>
          <w:szCs w:val="22"/>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8"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名称：</w:t>
            </w:r>
            <w:r>
              <w:rPr>
                <w:rFonts w:hint="eastAsia" w:ascii="仿宋" w:hAnsi="仿宋" w:eastAsia="仿宋" w:cs="仿宋"/>
              </w:rPr>
              <w:t>南京市医疗保障局高淳分局</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w:t>
      </w:r>
    </w:p>
    <w:p>
      <w:pPr>
        <w:numPr>
          <w:ilvl w:val="0"/>
          <w:numId w:val="0"/>
        </w:numPr>
        <w:bidi w:val="0"/>
        <w:ind w:left="440" w:leftChars="20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lang w:eastAsia="zh-CN"/>
        </w:rPr>
        <w:t>本</w:t>
      </w:r>
      <w:r>
        <w:rPr>
          <w:rFonts w:ascii="仿宋" w:hAnsi="仿宋" w:eastAsia="仿宋" w:cs="仿宋"/>
          <w:sz w:val="22"/>
        </w:rPr>
        <w:t>部门</w:t>
      </w:r>
      <w:r>
        <w:rPr>
          <w:rFonts w:hint="eastAsia" w:ascii="仿宋" w:hAnsi="仿宋" w:eastAsia="仿宋" w:cs="仿宋"/>
          <w:b w:val="0"/>
          <w:bCs w:val="0"/>
          <w:sz w:val="22"/>
          <w:szCs w:val="22"/>
        </w:rPr>
        <w:t>无政府采购支出决算，故本表为空。</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2022</w:t>
      </w:r>
      <w:r>
        <w:rPr>
          <w:rFonts w:hint="eastAsia" w:ascii="宋体" w:hAnsi="宋体" w:eastAsia="宋体" w:cs="宋体"/>
          <w:b/>
          <w:bCs/>
          <w:color w:val="000000"/>
          <w:kern w:val="0"/>
          <w:sz w:val="36"/>
          <w:szCs w:val="36"/>
          <w:lang w:val="zh-CN" w:eastAsia="ar-SA" w:bidi="zh-CN"/>
        </w:rPr>
        <w:t>年度</w:t>
      </w:r>
      <w:r>
        <w:rPr>
          <w:rFonts w:ascii="宋体" w:hAnsi="宋体" w:eastAsia="宋体" w:cs="宋体"/>
          <w:b/>
          <w:color w:val="000000"/>
          <w:sz w:val="36"/>
        </w:rPr>
        <w:t>部门决算情况说明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2022年度收入、支出决算总计5,331.64万元。与上年相比，收、支总计各增加160.72万元，增长3.11%。其中：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（一）收入决算总计5,331.64万元。包括：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1.本年收入决算合计5,331.64万元。与上年相比，增加160.72万元，增长3.11%，变动原因：新增失能保险资金、医保公共服务等项目支出。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2.使用非财政拨款结余0万元。与上年决算数相同。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3.年初结转和结余0万元。与上年决算数相同。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（二）支出决算总计5,331.64万元。包括：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1.本年支出决算合计5,331.03万元。与上年相比，增加160.11万元，增长3.1%，变动原因：新增失能保险资金、医保公共服务等项目支出。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2.结余分配0万元。与上年决算数相同。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年末结转和结余0.61万元。结转和结余事项：基本支出年末结转和结余0.27万元；项目支出结转和结余0.34万元。与上年相比，增加0.61万元（上年决算数为0万元，无法计算增减比率），变动原因：公用经费0.27万元结转下年；市医保局贯标信息化建设补助款结转和结余0.34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年收入决算合计5,331.64万元，其中：财政拨款收入5,328.59万元，占99.94%；上级补助收入0万元，占0%；财政专户管理教育收费0万元，占0%；事业收入（不含专户管理教育收费）0万元，占0%；经营收入0万元，占0%；附属单位上缴收入0万元，占0%；其他收入3.04万元，占0.06%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2022年度本年支出决算合计5,331.03万元，其中：基本支出236.58万元，占4.44%；项目支出5,094.45万元，占95.56%；上缴上级支出0万元，占0%；经营支出0万元，占0%；对附属单位补助支出0万元，占0%。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四、财政拨款收入支出决算总体情况说明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2022年度财政拨款收入、支出决算总计5,328.59万元。与上年相比，收、支总计各增加157.71万元，增长3.05%，变动原因：新增失能保险资金、医保公共服务等项目支出。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2022年度财政拨款支出决算5,328.37万元，占本年支出合计的99.95%。与2022年度财政拨款支出年初预算3,658.74万元相比，完成年初预算的145.63%。其中：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1.退役军人管理事务（款）其他退役军人事务管理支出（项）。年初预算0万元，支出决算25.23万元，（年初预算数为0万元，无法计算完成比率）决算数与年初预算数的差异原因：上级补助资金，年初没有预算。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2.其他社会保障和就业支出（款）其他社会保障和就业支出（项）。年初预算263万元，支出决算221.89万元，完成年初预算的84.37%。决算数与年初预算数的差异原因：按实际支出。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1.公共卫生（款）其他公共卫生支出（项）。年初预算200万元，支出决算0万元，完成年初预算的0%。决算数与年初预算数的差异原因：项目未开展。</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医疗救助（款）城乡医疗救助（项）。年初预算2,700万元，支出决算4,553万元，完成年初预算的168.63%。决算数与年初预算数的差异原因：除区级年初预算，增加了上级补助资金，决算也计入了城乡医疗救助科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3.医疗救助（款）其他医疗救助支出（项）。年初预算100万元，支出决算97.57万元，完成年初预算的97.57%。决算数与年初预算数的差异原因：按实际支出。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4.优抚对象医疗（款）优抚对象医疗补助（项）。年初预算100万元，支出决算94.65万元，完成年初预算的94.65%。决算数与年初预算数的差异原因：按实际支出。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5.医疗保障管理事务（款）行政运行（项）。年初预算134.8万元，支出决算183.65万元，完成年初预算的136.24%。决算数与年初预算数的差异原因：2022年绩效按月发放，追加人员经费。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6.医疗保障管理事务（款）信息化建设（项）。年初预算20万元，支出决算4.51万元，完成年初预算的22.55%。决算数与年初预算数的差异原因：按照区财政过紧日子要求，压缩项目经费。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7.医疗保障管理事务（款）医疗保障政策管理（项）。年初预算20万元，支出决算8.61万元，完成年初预算的43.05%。决算数与年初预算数的差异原因：按照区财政过紧日子要求，压缩项目经费。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医疗保障管理事务（款）其他医疗保障管理事务支出（项）。年初预算68万元，支出决算86.34万元，完成年初预算的126.97%。决算数与年初预算数的差异原因：除区级年初预算，增加了上级补助资金，决算也计入了其他医疗保障管理事务支出科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1.住房改革支出（款）住房公积金（项）。年初预算16.72万元，支出决算16.72万元，完成年初预算的100%。决算数与年初预算数相同。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2.住房改革支出（款）提租补贴（项）。年初预算36.22万元，支出决算36.22万元，完成年初预算的100%。决算数与年初预算数相同。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2022年度财政拨款基本支出决算236.58万元，其中：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（一）人员经费230.27万元。</w:t>
      </w:r>
      <w:r>
        <w:rPr>
          <w:rFonts w:ascii="仿宋" w:hAnsi="仿宋" w:eastAsia="仿宋" w:cs="仿宋"/>
        </w:rPr>
        <w:t>主要包括：基本工资、津贴补贴、奖金、伙食补助费、机关事业单位基本养老保险缴费、职业年金缴费、职工基本医疗保险缴费、其他社会保障缴费、住房公积金、其他工资福利支出、医疗费补助。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（二）公用经费6.31万元。</w:t>
      </w:r>
      <w:r>
        <w:rPr>
          <w:rFonts w:ascii="仿宋" w:hAnsi="仿宋" w:eastAsia="仿宋" w:cs="仿宋"/>
        </w:rPr>
        <w:t>主要包括：办公费、邮电费、差旅费、维修（护）费、会议费、公务接待费、工会经费、其他商品和服务支出。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2022年度一般公共预算财政拨款支出决算5,328.37万元。与上年相比，增加157.49万元，增长3.05%，变动原因：新增失能保险资金、医保公共服务等项目支出。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2022年度一般公共预算财政拨款基本支出决算236.58万元，其中：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（一）人员经费230.27万元。</w:t>
      </w:r>
      <w:r>
        <w:rPr>
          <w:rFonts w:ascii="仿宋" w:hAnsi="仿宋" w:eastAsia="仿宋" w:cs="仿宋"/>
        </w:rPr>
        <w:t>主要包括：基本工资、津贴补贴、奖金、伙食补助费、机关事业单位基本养老保险缴费、职业年金缴费、职工基本医疗保险缴费、其他社会保障缴费、住房公积金、其他工资福利支出、医疗费补助。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楷体" w:hAnsi="楷体" w:eastAsia="楷体" w:cs="楷体"/>
        </w:rPr>
        <w:t>（二）公用经费6.31万元。</w:t>
      </w:r>
      <w:r>
        <w:rPr>
          <w:rFonts w:ascii="仿宋" w:hAnsi="仿宋" w:eastAsia="仿宋" w:cs="仿宋"/>
        </w:rPr>
        <w:t>主要包括：办公费、邮电费、差旅费、维修（护）费、会议费、公务接待费、工会经费、其他商品和服务支出。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九、财政拨款“三公”经费、会议费和培训费支出情况说明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（一）财政拨款“三公”经费支出总体情况说明。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三公”经费支出决算0.92万元（其中：一般公共预算支出0.92万元；政府性基金预算支出0万元；国有资本经营预算支出0万元）。与上年相比，增加0.13万元，变动原因：招商引资等公务接待需要。其中，因公出国（境）费支出0万元，占“三公”经费的0%；公务用车购置及运行维护费支出0万元，占“三公”经费的0%；公务接待费支出0.92万元，占“三公”经费的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（二）财政拨款“三公”经费支出具体情况说明。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（1）公务用车购置支出决算0万元。本年度使用财政拨款购置公务用车0辆。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支出决算0万元。公务用车运行维护费主要用于按规定保留的公务用车的燃料费、维修费、过桥过路费、保险费、安全奖励费用等支出。截至2022年12月31日，使用财政拨款开支的公务用车保有量为0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支出预算0.92万元（其中：一般公共预算支出0.92万元；政府性基金预算支出0万元；国有资本经营预算支出0万元），支出决算0.92万元（其中：一般公共预算支出0.92万元；政府性基金预算支出0万元；国有资本经营预算支出0万元），完成调整后预算的100%，决算数与预算数相同。其中：国内公务接待支出0.92万元，接待6批次，73人次，开支内容：上级督查、调研及本级招商引资等；国（境）外公务接待支出0万元，接待0批次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（三）财政拨款会议费支出决算情况说明。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会议费支出预算0.25万元（其中：一般公共预算支出0.25万元；政府性基金预算支出0万元；国有资本经营预算支出0万元），支出决算0.25万元（其中：一般公共预算支出0.25万元；政府性基金预算支出0万元；国有资本经营预算支出0万元），完成调整后预算的100%，决算数与预算数相同。2022年度全年召开会议2个，参加会议423人次，开支内容：开展医保基金监管业务布置会、培训会等。</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（四）财政拨款培训费支出决算情况说明。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2022年度全年组织培训0个，组织培训0人次。</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2022年度政府性基金预算财政拨款支出决算0万元。与上年决算数相同。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十一、国有资本经营预算财政拨款支出决算情况说明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2022年度国有资本经营预算财政拨款支出决算0万元。与上年决算数相同。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十二、财政拨款机关运行经费支出决算情况说明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机关运行经费支出决算6.31万元（其中：一般公共预算支出6.31万元；政府性基金预算支出0万元；国有资本经营预算支出0万元）。与上年相比，减少2.79万元，减少30.66%，变动原因：按照区财政过紧日子要求，减少机关运行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十三、政府采购支出决算情况说明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2022年度政府采购支出总额0万元，其中：政府采购货物支出0万元、政府采购工程支出0万元、政府采购服务支出0万元。政府采购授予中小企业合同金额0万元，其中：授予小微企业合同金额0万元。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截至2022年12月31日，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十五、预算绩效评价工作开展情况</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2022年度，本部门共0个项目开展了财政重点绩效评价，涉及财政性资金合计0万元；本部门未开展部门整体支出财政重点绩效评价，涉及财政性资金0万元。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本部门共对上年度已实施完成的9个项目开展了绩效自评价，涉及财政性资金合计3,198.07万元；本部门共开展1项部门整体支出绩效自评价，涉及财政性资金合计3,385.81万元。</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十九、社会保障和就业支出(类)退役军人管理事务(款)其他退役军人事务管理支出(项)</w:t>
      </w:r>
      <w:r>
        <w:rPr>
          <w:rFonts w:ascii="仿宋" w:hAnsi="仿宋" w:eastAsia="仿宋" w:cs="仿宋"/>
          <w:b/>
        </w:rPr>
        <w:t>：</w:t>
      </w:r>
      <w:r>
        <w:rPr>
          <w:rFonts w:hint="eastAsia" w:ascii="仿宋" w:hAnsi="仿宋" w:eastAsia="仿宋" w:cs="仿宋"/>
        </w:rPr>
        <w:t>反映除上述项目以外其他用于退役军人事务管理方面的支出。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二十一、卫生健康支出(类)医疗救助(款)城乡医疗救助(项)</w:t>
      </w:r>
      <w:r>
        <w:rPr>
          <w:rFonts w:ascii="仿宋" w:hAnsi="仿宋" w:eastAsia="仿宋" w:cs="仿宋"/>
          <w:b/>
        </w:rPr>
        <w:t>：</w:t>
      </w:r>
      <w:r>
        <w:rPr>
          <w:rFonts w:hint="eastAsia" w:ascii="仿宋" w:hAnsi="仿宋" w:eastAsia="仿宋" w:cs="仿宋"/>
        </w:rPr>
        <w:t>反映财政用于城乡困难群众医疗救助的支出。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二十二、卫生健康支出(类)医疗救助(款)其他医疗救助支出(项)</w:t>
      </w:r>
      <w:r>
        <w:rPr>
          <w:rFonts w:ascii="仿宋" w:hAnsi="仿宋" w:eastAsia="仿宋" w:cs="仿宋"/>
          <w:b/>
        </w:rPr>
        <w:t>：</w:t>
      </w:r>
      <w:r>
        <w:rPr>
          <w:rFonts w:hint="eastAsia" w:ascii="仿宋" w:hAnsi="仿宋" w:eastAsia="仿宋" w:cs="仿宋"/>
        </w:rPr>
        <w:t>反映除上述项目以外的其他用于医疗救助方面的支出。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二十三、卫生健康支出(类)优抚对象医疗(款)优抚对象医疗补助(项)</w:t>
      </w:r>
      <w:r>
        <w:rPr>
          <w:rFonts w:ascii="仿宋" w:hAnsi="仿宋" w:eastAsia="仿宋" w:cs="仿宋"/>
          <w:b/>
        </w:rPr>
        <w:t>：</w:t>
      </w:r>
      <w:r>
        <w:rPr>
          <w:rFonts w:hint="eastAsia" w:ascii="仿宋" w:hAnsi="仿宋" w:eastAsia="仿宋" w:cs="仿宋"/>
        </w:rPr>
        <w:t>反映按规定补助优抚对象的医疗经费。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二十四、卫生健康支出(类)医疗保障管理事务(款)行政运行(项)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二十五、卫生健康支出(类)医疗保障管理事务(款)信息化建设(项)</w:t>
      </w:r>
      <w:r>
        <w:rPr>
          <w:rFonts w:ascii="仿宋" w:hAnsi="仿宋" w:eastAsia="仿宋" w:cs="仿宋"/>
          <w:b/>
        </w:rPr>
        <w:t>：</w:t>
      </w:r>
      <w:r>
        <w:rPr>
          <w:rFonts w:hint="eastAsia" w:ascii="仿宋" w:hAnsi="仿宋" w:eastAsia="仿宋" w:cs="仿宋"/>
        </w:rPr>
        <w:t>反映医疗保障部门用于信息化建设、开发、运行维护和数据分析等方面支出。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二十六、卫生健康支出(类)医疗保障管理事务(款)医疗保障政策管理(项)</w:t>
      </w:r>
      <w:r>
        <w:rPr>
          <w:rFonts w:ascii="仿宋" w:hAnsi="仿宋" w:eastAsia="仿宋" w:cs="仿宋"/>
          <w:b/>
        </w:rPr>
        <w:t>：</w:t>
      </w:r>
      <w:r>
        <w:rPr>
          <w:rFonts w:hint="eastAsia" w:ascii="仿宋" w:hAnsi="仿宋" w:eastAsia="仿宋" w:cs="仿宋"/>
        </w:rPr>
        <w:t>反映医疗保障待遇管理、医药服务管理、医药价格和招标采购管理、医疗保障基金监管等支出。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二十七、卫生健康支出(类)医疗保障管理事务(款)其他医疗保障管理事务支出(项)</w:t>
      </w:r>
      <w:r>
        <w:rPr>
          <w:rFonts w:ascii="仿宋" w:hAnsi="仿宋" w:eastAsia="仿宋" w:cs="仿宋"/>
          <w:b/>
        </w:rPr>
        <w:t>：</w:t>
      </w:r>
      <w:r>
        <w:rPr>
          <w:rFonts w:hint="eastAsia" w:ascii="仿宋" w:hAnsi="仿宋" w:eastAsia="仿宋" w:cs="仿宋"/>
        </w:rPr>
        <w:t>反映除上述项目以外的其他用于医疗保障管理事务方面的支出。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南京市医疗保障局高淳分局</w:t>
    </w:r>
    <w:r>
      <w:t>2022年度部门决算公开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mFhMzliNzcxZWM2NWUwYTgxOWYzYWQ2Yjk2MThlMTcifQ=="/>
  </w:docVars>
  <w:rsids>
    <w:rsidRoot w:val="00000000"/>
    <w:rsid w:val="00064984"/>
    <w:rsid w:val="00071789"/>
    <w:rsid w:val="000C024B"/>
    <w:rsid w:val="000F12AB"/>
    <w:rsid w:val="001C31F9"/>
    <w:rsid w:val="002E63B1"/>
    <w:rsid w:val="00407CA7"/>
    <w:rsid w:val="00413AD8"/>
    <w:rsid w:val="004C0647"/>
    <w:rsid w:val="00671ED7"/>
    <w:rsid w:val="00672164"/>
    <w:rsid w:val="006732F1"/>
    <w:rsid w:val="007C0F2D"/>
    <w:rsid w:val="008322BB"/>
    <w:rsid w:val="00867423"/>
    <w:rsid w:val="008B5B05"/>
    <w:rsid w:val="009965EA"/>
    <w:rsid w:val="00A6752E"/>
    <w:rsid w:val="00B92181"/>
    <w:rsid w:val="00BD7F33"/>
    <w:rsid w:val="00C15920"/>
    <w:rsid w:val="00C8258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252C7"/>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345F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386236"/>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9B3721"/>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35B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00E6E"/>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5E5CA6"/>
    <w:rsid w:val="6E7C11B5"/>
    <w:rsid w:val="6E7C32EF"/>
    <w:rsid w:val="6E7F556F"/>
    <w:rsid w:val="6E997C25"/>
    <w:rsid w:val="6E9F07E1"/>
    <w:rsid w:val="6EA14A30"/>
    <w:rsid w:val="6EA42846"/>
    <w:rsid w:val="6EB6105A"/>
    <w:rsid w:val="6EBA00D3"/>
    <w:rsid w:val="6EBD1212"/>
    <w:rsid w:val="6EC629FF"/>
    <w:rsid w:val="6EC7282F"/>
    <w:rsid w:val="6EC922AC"/>
    <w:rsid w:val="6ED21161"/>
    <w:rsid w:val="6F04413C"/>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902514"/>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autoRedefine/>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autoRedefine/>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autoRedefine/>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autoRedefine/>
    <w:qFormat/>
    <w:uiPriority w:val="0"/>
    <w:pPr>
      <w:keepNext/>
      <w:spacing w:before="240" w:after="120"/>
    </w:pPr>
    <w:rPr>
      <w:rFonts w:ascii="Liberation Sans" w:hAnsi="Liberation Sans"/>
      <w:sz w:val="28"/>
      <w:szCs w:val="28"/>
    </w:rPr>
  </w:style>
  <w:style w:type="paragraph" w:customStyle="1" w:styleId="19">
    <w:name w:val="索引"/>
    <w:basedOn w:val="1"/>
    <w:autoRedefine/>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autoRedefine/>
    <w:qFormat/>
    <w:uiPriority w:val="0"/>
    <w:pPr>
      <w:suppressLineNumbers/>
    </w:pPr>
  </w:style>
  <w:style w:type="paragraph" w:customStyle="1" w:styleId="24">
    <w:name w:val="表格标题"/>
    <w:basedOn w:val="23"/>
    <w:autoRedefine/>
    <w:qFormat/>
    <w:uiPriority w:val="0"/>
    <w:pPr>
      <w:jc w:val="center"/>
    </w:pPr>
    <w:rPr>
      <w:b/>
      <w:bCs/>
    </w:rPr>
  </w:style>
  <w:style w:type="paragraph" w:customStyle="1" w:styleId="25">
    <w:name w:val="预格式化的文本"/>
    <w:basedOn w:val="1"/>
    <w:autoRedefine/>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2757</Words>
  <Characters>7652</Characters>
  <Paragraphs>501</Paragraphs>
  <TotalTime>2</TotalTime>
  <ScaleCrop>false</ScaleCrop>
  <LinksUpToDate>false</LinksUpToDate>
  <CharactersWithSpaces>7672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NTKO</cp:lastModifiedBy>
  <dcterms:modified xsi:type="dcterms:W3CDTF">2024-11-11T01:11:33Z</dcterms:modified>
  <dc:title>部门决算公开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2052-12.1.0.16120</vt:lpwstr>
  </property>
  <property fmtid="{D5CDD505-2E9C-101B-9397-08002B2CF9AE}" pid="6" name="LastSaved">
    <vt:filetime>2021-04-15T00:00:00Z</vt:filetime>
  </property>
</Properties>
</file>