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952D1E">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南京市医疗保障局高淳分局</w:t>
            </w:r>
            <w:r>
              <w:rPr>
                <w:rFonts w:ascii="宋体" w:eastAsia="宋体" w:hAnsi="宋体" w:cs="宋体"/>
                <w:b/>
                <w:sz w:val="52"/>
              </w:rPr>
              <w:br/>
            </w:r>
            <w:r>
              <w:rPr>
                <w:rFonts w:ascii="宋体" w:eastAsia="宋体" w:hAnsi="宋体" w:cs="宋体"/>
                <w:b/>
                <w:sz w:val="52"/>
              </w:rPr>
              <w:t>部门决算公开</w:t>
            </w:r>
          </w:p>
        </w:tc>
      </w:tr>
    </w:tbl>
    <w:p w:rsidR="006E012F" w:rsidRDefault="006E012F">
      <w:pPr>
        <w:ind w:rightChars="129" w:right="284"/>
        <w:jc w:val="both"/>
        <w:rPr>
          <w:rFonts w:ascii="宋体" w:eastAsia="宋体" w:hAnsi="宋体" w:cs="宋体"/>
          <w:b/>
          <w:bCs/>
          <w:sz w:val="52"/>
          <w:szCs w:val="52"/>
        </w:rPr>
        <w:sectPr w:rsidR="006E012F">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952D1E">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952D1E">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部门</w:t>
      </w:r>
      <w:r>
        <w:rPr>
          <w:rFonts w:ascii="黑体" w:eastAsia="黑体" w:hAnsi="黑体" w:cs="黑体" w:hint="eastAsia"/>
        </w:rPr>
        <w:t>概况</w:t>
      </w:r>
    </w:p>
    <w:p w:rsidR="006E012F" w:rsidRDefault="00952D1E">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952D1E">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6E012F" w:rsidRDefault="00952D1E">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952D1E">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部门决算表</w:t>
      </w:r>
    </w:p>
    <w:p w:rsidR="006E012F" w:rsidRDefault="00952D1E">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952D1E">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952D1E">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952D1E">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952D1E">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952D1E">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952D1E">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952D1E">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952D1E">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952D1E">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952D1E">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952D1E">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952D1E">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部门决算情况说明</w:t>
      </w:r>
    </w:p>
    <w:p w:rsidR="006E012F" w:rsidRDefault="00952D1E">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3"/>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952D1E">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第一部分部门概况</w:t>
      </w:r>
    </w:p>
    <w:p w:rsidR="006E012F" w:rsidRDefault="006E012F">
      <w:pPr>
        <w:ind w:rightChars="229" w:right="504"/>
        <w:jc w:val="both"/>
      </w:pPr>
    </w:p>
    <w:p w:rsidR="006E012F" w:rsidRDefault="00952D1E">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承担高淳区城镇职工和城乡居民基本医疗保险、生育保险、大病保险、医疗保障监督、医疗救助、药品和医疗服务价格管理等医疗保障工作。</w:t>
      </w:r>
    </w:p>
    <w:p w:rsidR="006E012F" w:rsidRPr="00CF349C" w:rsidRDefault="00952D1E">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部门</w:t>
      </w:r>
      <w:r>
        <w:rPr>
          <w:rFonts w:ascii="黑体" w:eastAsia="黑体" w:hAnsi="黑体" w:cs="黑体" w:hint="eastAsia"/>
        </w:rPr>
        <w:t>机构设置及决算单位构成情况</w:t>
      </w:r>
    </w:p>
    <w:p w:rsidR="006E012F" w:rsidRPr="00CF349C"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本部门内设机构包括综合科和业务科。本部门无下属单位。</w:t>
      </w:r>
    </w:p>
    <w:p w:rsidR="006E012F" w:rsidRPr="00CF349C"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从决算单位构成看</w:t>
      </w:r>
      <w:r w:rsidRPr="00CF349C">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sidRPr="00CF349C">
        <w:rPr>
          <w:rFonts w:ascii="仿宋" w:eastAsia="仿宋" w:hAnsi="仿宋" w:cs="仿宋" w:hint="eastAsia"/>
          <w:lang w:val="en-US"/>
        </w:rPr>
        <w:t>202</w:t>
      </w:r>
      <w:r>
        <w:rPr>
          <w:rFonts w:ascii="仿宋" w:eastAsia="仿宋" w:hAnsi="仿宋" w:cs="仿宋" w:hint="eastAsia"/>
          <w:lang w:val="en-US"/>
        </w:rPr>
        <w:t>3</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1</w:t>
      </w:r>
      <w:r>
        <w:rPr>
          <w:rFonts w:ascii="仿宋" w:eastAsia="仿宋" w:hAnsi="仿宋" w:cs="仿宋" w:hint="eastAsia"/>
        </w:rPr>
        <w:t>家</w:t>
      </w:r>
      <w:r w:rsidRPr="00CF349C">
        <w:rPr>
          <w:rFonts w:ascii="仿宋" w:eastAsia="仿宋" w:hAnsi="仿宋" w:cs="仿宋" w:hint="eastAsia"/>
          <w:lang w:val="en-US"/>
        </w:rPr>
        <w:t>，</w:t>
      </w:r>
      <w:r>
        <w:rPr>
          <w:rFonts w:ascii="仿宋" w:eastAsia="仿宋" w:hAnsi="仿宋" w:cs="仿宋" w:hint="eastAsia"/>
        </w:rPr>
        <w:t>具体包括</w:t>
      </w:r>
      <w:r w:rsidRPr="00CF349C">
        <w:rPr>
          <w:rFonts w:ascii="仿宋" w:eastAsia="仿宋" w:hAnsi="仿宋" w:cs="仿宋" w:hint="eastAsia"/>
          <w:lang w:val="en-US"/>
        </w:rPr>
        <w:t>：</w:t>
      </w:r>
      <w:r>
        <w:rPr>
          <w:rFonts w:ascii="仿宋" w:eastAsia="仿宋" w:hAnsi="仿宋" w:cs="仿宋"/>
        </w:rPr>
        <w:t>南京市医疗保障局高淳分局。</w:t>
      </w:r>
    </w:p>
    <w:p w:rsidR="006E012F" w:rsidRDefault="00952D1E">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）坚持全面从严治党</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一是强化思想政治建设。制定分局</w:t>
      </w:r>
      <w:r>
        <w:rPr>
          <w:rFonts w:ascii="仿宋" w:eastAsia="仿宋" w:hAnsi="仿宋" w:cs="仿宋"/>
        </w:rPr>
        <w:t>2023</w:t>
      </w:r>
      <w:r>
        <w:rPr>
          <w:rFonts w:ascii="仿宋" w:eastAsia="仿宋" w:hAnsi="仿宋" w:cs="仿宋"/>
        </w:rPr>
        <w:t>年度党支部理论学习计划，扎实开展</w:t>
      </w:r>
      <w:r>
        <w:rPr>
          <w:rFonts w:ascii="仿宋" w:eastAsia="仿宋" w:hAnsi="仿宋" w:cs="仿宋"/>
        </w:rPr>
        <w:t>学习</w:t>
      </w:r>
      <w:r w:rsidR="009839FA">
        <w:rPr>
          <w:rFonts w:ascii="仿宋" w:eastAsia="仿宋" w:hAnsi="仿宋" w:cs="仿宋" w:hint="eastAsia"/>
        </w:rPr>
        <w:t>贯彻</w:t>
      </w:r>
      <w:r>
        <w:rPr>
          <w:rFonts w:ascii="仿宋" w:eastAsia="仿宋" w:hAnsi="仿宋" w:cs="仿宋"/>
        </w:rPr>
        <w:t>习近平新时代中国特色社会主义思想</w:t>
      </w:r>
      <w:r>
        <w:rPr>
          <w:rFonts w:ascii="仿宋" w:eastAsia="仿宋" w:hAnsi="仿宋" w:cs="仿宋"/>
        </w:rPr>
        <w:t>主题教育，依托</w:t>
      </w:r>
      <w:r>
        <w:rPr>
          <w:rFonts w:ascii="仿宋" w:eastAsia="仿宋" w:hAnsi="仿宋" w:cs="仿宋"/>
        </w:rPr>
        <w:t>“</w:t>
      </w:r>
      <w:r>
        <w:rPr>
          <w:rFonts w:ascii="仿宋" w:eastAsia="仿宋" w:hAnsi="仿宋" w:cs="仿宋"/>
        </w:rPr>
        <w:t>三会一课</w:t>
      </w:r>
      <w:r>
        <w:rPr>
          <w:rFonts w:ascii="仿宋" w:eastAsia="仿宋" w:hAnsi="仿宋" w:cs="仿宋"/>
        </w:rPr>
        <w:t>”</w:t>
      </w:r>
      <w:r>
        <w:rPr>
          <w:rFonts w:ascii="仿宋" w:eastAsia="仿宋" w:hAnsi="仿宋" w:cs="仿宋"/>
        </w:rPr>
        <w:t>、主题党日多措并举加强政治理论学习，先后开展支部书记上党课</w:t>
      </w:r>
      <w:r>
        <w:rPr>
          <w:rFonts w:ascii="仿宋" w:eastAsia="仿宋" w:hAnsi="仿宋" w:cs="仿宋"/>
        </w:rPr>
        <w:t>4</w:t>
      </w:r>
      <w:r>
        <w:rPr>
          <w:rFonts w:ascii="仿宋" w:eastAsia="仿宋" w:hAnsi="仿宋" w:cs="仿宋"/>
        </w:rPr>
        <w:t>次，党日活动</w:t>
      </w:r>
      <w:r>
        <w:rPr>
          <w:rFonts w:ascii="仿宋" w:eastAsia="仿宋" w:hAnsi="仿宋" w:cs="仿宋"/>
        </w:rPr>
        <w:t>11</w:t>
      </w:r>
      <w:r>
        <w:rPr>
          <w:rFonts w:ascii="仿宋" w:eastAsia="仿宋" w:hAnsi="仿宋" w:cs="仿宋"/>
        </w:rPr>
        <w:t>次、集中学习</w:t>
      </w:r>
      <w:r>
        <w:rPr>
          <w:rFonts w:ascii="仿宋" w:eastAsia="仿宋" w:hAnsi="仿宋" w:cs="仿宋"/>
        </w:rPr>
        <w:t>15</w:t>
      </w:r>
      <w:r>
        <w:rPr>
          <w:rFonts w:ascii="仿宋" w:eastAsia="仿宋" w:hAnsi="仿宋" w:cs="仿宋"/>
        </w:rPr>
        <w:t>次。开展</w:t>
      </w:r>
      <w:r>
        <w:rPr>
          <w:rFonts w:ascii="仿宋" w:eastAsia="仿宋" w:hAnsi="仿宋" w:cs="仿宋"/>
        </w:rPr>
        <w:t>“</w:t>
      </w:r>
      <w:r>
        <w:rPr>
          <w:rFonts w:ascii="仿宋" w:eastAsia="仿宋" w:hAnsi="仿宋" w:cs="仿宋"/>
        </w:rPr>
        <w:t>牢记嘱托、感恩奋进，挑大梁、勇攀登、走在前</w:t>
      </w:r>
      <w:r>
        <w:rPr>
          <w:rFonts w:ascii="仿宋" w:eastAsia="仿宋" w:hAnsi="仿宋" w:cs="仿宋"/>
        </w:rPr>
        <w:t>”</w:t>
      </w:r>
      <w:r>
        <w:rPr>
          <w:rFonts w:ascii="仿宋" w:eastAsia="仿宋" w:hAnsi="仿宋" w:cs="仿宋"/>
        </w:rPr>
        <w:t>大讨论活动，参加</w:t>
      </w:r>
      <w:r>
        <w:rPr>
          <w:rFonts w:ascii="仿宋" w:eastAsia="仿宋" w:hAnsi="仿宋" w:cs="仿宋"/>
        </w:rPr>
        <w:t>“</w:t>
      </w:r>
      <w:r>
        <w:rPr>
          <w:rFonts w:ascii="仿宋" w:eastAsia="仿宋" w:hAnsi="仿宋" w:cs="仿宋"/>
        </w:rPr>
        <w:t>学思想强党性共奋斗</w:t>
      </w:r>
      <w:r>
        <w:rPr>
          <w:rFonts w:ascii="仿宋" w:eastAsia="仿宋" w:hAnsi="仿宋" w:cs="仿宋"/>
        </w:rPr>
        <w:t>”</w:t>
      </w:r>
      <w:r>
        <w:rPr>
          <w:rFonts w:ascii="仿宋" w:eastAsia="仿宋" w:hAnsi="仿宋" w:cs="仿宋"/>
        </w:rPr>
        <w:t>知识竞赛、</w:t>
      </w:r>
      <w:r>
        <w:rPr>
          <w:rFonts w:ascii="仿宋" w:eastAsia="仿宋" w:hAnsi="仿宋" w:cs="仿宋"/>
        </w:rPr>
        <w:t>“</w:t>
      </w:r>
      <w:r>
        <w:rPr>
          <w:rFonts w:ascii="仿宋" w:eastAsia="仿宋" w:hAnsi="仿宋" w:cs="仿宋"/>
        </w:rPr>
        <w:t>学思想，我来讲</w:t>
      </w:r>
      <w:r>
        <w:rPr>
          <w:rFonts w:ascii="仿宋" w:eastAsia="仿宋" w:hAnsi="仿宋" w:cs="仿宋"/>
        </w:rPr>
        <w:t>”</w:t>
      </w:r>
      <w:r>
        <w:rPr>
          <w:rFonts w:ascii="仿宋" w:eastAsia="仿宋" w:hAnsi="仿宋" w:cs="仿宋"/>
        </w:rPr>
        <w:t>主题演讲比赛，真正学出理论自觉，学出清醒坚定，学出实干担当。召开主题教育专题组织生活会，支部书记代表支部班子作对照检查，班子成员及其他党员逐一对照</w:t>
      </w:r>
      <w:r>
        <w:rPr>
          <w:rFonts w:ascii="仿宋" w:eastAsia="仿宋" w:hAnsi="仿宋" w:cs="仿宋"/>
        </w:rPr>
        <w:t>12</w:t>
      </w:r>
      <w:r>
        <w:rPr>
          <w:rFonts w:ascii="仿宋" w:eastAsia="仿宋" w:hAnsi="仿宋" w:cs="仿宋"/>
        </w:rPr>
        <w:t>条具体要求和</w:t>
      </w:r>
      <w:r>
        <w:rPr>
          <w:rFonts w:ascii="仿宋" w:eastAsia="仿宋" w:hAnsi="仿宋" w:cs="仿宋"/>
        </w:rPr>
        <w:lastRenderedPageBreak/>
        <w:t>6</w:t>
      </w:r>
      <w:r>
        <w:rPr>
          <w:rFonts w:ascii="仿宋" w:eastAsia="仿宋" w:hAnsi="仿宋" w:cs="仿宋"/>
        </w:rPr>
        <w:t>个方面突出问题深刻剖析查摆，开展批评与自我批评。严格按照《中国共产党基层组织选举工作条例》规定和程序，完成分局支部书记换届选举工作，进一步增强了党支部的组织力、战斗力。二是抓好党风廉政建设和意识形态工作。严格履行</w:t>
      </w:r>
      <w:r>
        <w:rPr>
          <w:rFonts w:ascii="仿宋" w:eastAsia="仿宋" w:hAnsi="仿宋" w:cs="仿宋"/>
        </w:rPr>
        <w:t>“</w:t>
      </w:r>
      <w:r>
        <w:rPr>
          <w:rFonts w:ascii="仿宋" w:eastAsia="仿宋" w:hAnsi="仿宋" w:cs="仿宋"/>
        </w:rPr>
        <w:t>一岗双责</w:t>
      </w:r>
      <w:r>
        <w:rPr>
          <w:rFonts w:ascii="仿宋" w:eastAsia="仿宋" w:hAnsi="仿宋" w:cs="仿宋"/>
        </w:rPr>
        <w:t>”</w:t>
      </w:r>
      <w:r>
        <w:rPr>
          <w:rFonts w:ascii="仿宋" w:eastAsia="仿宋" w:hAnsi="仿宋" w:cs="仿宋"/>
        </w:rPr>
        <w:t>，建立健全廉政风险防控机制，开展岗位廉政风险点排查，健全密切联系群众、转变工作作风的长效机制。召开党风廉政建设暨警示教育专题学习会</w:t>
      </w:r>
      <w:r>
        <w:rPr>
          <w:rFonts w:ascii="仿宋" w:eastAsia="仿宋" w:hAnsi="仿宋" w:cs="仿宋"/>
        </w:rPr>
        <w:t>2</w:t>
      </w:r>
      <w:r>
        <w:rPr>
          <w:rFonts w:ascii="仿宋" w:eastAsia="仿宋" w:hAnsi="仿宋" w:cs="仿宋"/>
        </w:rPr>
        <w:t>次，传达学习关于违反中央八项规定精神问题的通报，集体观看警示教育片《正风反腐就在身边》。召开意识形态工作专题会议</w:t>
      </w:r>
      <w:r>
        <w:rPr>
          <w:rFonts w:ascii="仿宋" w:eastAsia="仿宋" w:hAnsi="仿宋" w:cs="仿宋"/>
        </w:rPr>
        <w:t>2</w:t>
      </w:r>
      <w:r>
        <w:rPr>
          <w:rFonts w:ascii="仿宋" w:eastAsia="仿宋" w:hAnsi="仿宋" w:cs="仿宋"/>
        </w:rPr>
        <w:t>次，研究分析分局意识形态工作落实情况。开</w:t>
      </w:r>
      <w:r>
        <w:rPr>
          <w:rFonts w:ascii="仿宋" w:eastAsia="仿宋" w:hAnsi="仿宋" w:cs="仿宋"/>
        </w:rPr>
        <w:t>展保密宣传教育</w:t>
      </w:r>
      <w:r>
        <w:rPr>
          <w:rFonts w:ascii="仿宋" w:eastAsia="仿宋" w:hAnsi="仿宋" w:cs="仿宋"/>
        </w:rPr>
        <w:t>2</w:t>
      </w:r>
      <w:r>
        <w:rPr>
          <w:rFonts w:ascii="仿宋" w:eastAsia="仿宋" w:hAnsi="仿宋" w:cs="仿宋"/>
        </w:rPr>
        <w:t>次，张贴保密宣传海报并组织收看保密教育片，组织开展保密知识技能竞赛，不断强化全体干部职工底线思维，筑牢思想防线。三是强化调查研究工作。认真贯彻落实党中央及省、市委关于大兴调查研究的工作要求，持续开展为民办实事走村入户</w:t>
      </w:r>
      <w:r>
        <w:rPr>
          <w:rFonts w:ascii="仿宋" w:eastAsia="仿宋" w:hAnsi="仿宋" w:cs="仿宋"/>
        </w:rPr>
        <w:t>“</w:t>
      </w:r>
      <w:r>
        <w:rPr>
          <w:rFonts w:ascii="仿宋" w:eastAsia="仿宋" w:hAnsi="仿宋" w:cs="仿宋"/>
        </w:rPr>
        <w:t>百村百事</w:t>
      </w:r>
      <w:r>
        <w:rPr>
          <w:rFonts w:ascii="仿宋" w:eastAsia="仿宋" w:hAnsi="仿宋" w:cs="仿宋"/>
        </w:rPr>
        <w:t>”</w:t>
      </w:r>
      <w:r>
        <w:rPr>
          <w:rFonts w:ascii="仿宋" w:eastAsia="仿宋" w:hAnsi="仿宋" w:cs="仿宋"/>
        </w:rPr>
        <w:t>大走访大落实行动，深入区内企业、社区、医疗机构、困难群众等开展走访调研</w:t>
      </w:r>
      <w:r>
        <w:rPr>
          <w:rFonts w:ascii="仿宋" w:eastAsia="仿宋" w:hAnsi="仿宋" w:cs="仿宋"/>
        </w:rPr>
        <w:t>8</w:t>
      </w:r>
      <w:r>
        <w:rPr>
          <w:rFonts w:ascii="仿宋" w:eastAsia="仿宋" w:hAnsi="仿宋" w:cs="仿宋"/>
        </w:rPr>
        <w:t>次，走访企业</w:t>
      </w:r>
      <w:r>
        <w:rPr>
          <w:rFonts w:ascii="仿宋" w:eastAsia="仿宋" w:hAnsi="仿宋" w:cs="仿宋"/>
        </w:rPr>
        <w:t>4</w:t>
      </w:r>
      <w:r>
        <w:rPr>
          <w:rFonts w:ascii="仿宋" w:eastAsia="仿宋" w:hAnsi="仿宋" w:cs="仿宋"/>
        </w:rPr>
        <w:t>家、医疗机构</w:t>
      </w:r>
      <w:r>
        <w:rPr>
          <w:rFonts w:ascii="仿宋" w:eastAsia="仿宋" w:hAnsi="仿宋" w:cs="仿宋"/>
        </w:rPr>
        <w:t>68</w:t>
      </w:r>
      <w:r>
        <w:rPr>
          <w:rFonts w:ascii="仿宋" w:eastAsia="仿宋" w:hAnsi="仿宋" w:cs="仿宋"/>
        </w:rPr>
        <w:t>家、群众</w:t>
      </w:r>
      <w:r>
        <w:rPr>
          <w:rFonts w:ascii="仿宋" w:eastAsia="仿宋" w:hAnsi="仿宋" w:cs="仿宋"/>
        </w:rPr>
        <w:t>60</w:t>
      </w:r>
      <w:r>
        <w:rPr>
          <w:rFonts w:ascii="仿宋" w:eastAsia="仿宋" w:hAnsi="仿宋" w:cs="仿宋"/>
        </w:rPr>
        <w:t>余户，撰写调研报告</w:t>
      </w:r>
      <w:r>
        <w:rPr>
          <w:rFonts w:ascii="仿宋" w:eastAsia="仿宋" w:hAnsi="仿宋" w:cs="仿宋"/>
        </w:rPr>
        <w:t>2</w:t>
      </w:r>
      <w:r>
        <w:rPr>
          <w:rFonts w:ascii="仿宋" w:eastAsia="仿宋" w:hAnsi="仿宋" w:cs="仿宋"/>
        </w:rPr>
        <w:t>篇，梳理上报分局</w:t>
      </w:r>
      <w:r>
        <w:rPr>
          <w:rFonts w:ascii="仿宋" w:eastAsia="仿宋" w:hAnsi="仿宋" w:cs="仿宋"/>
        </w:rPr>
        <w:t>“</w:t>
      </w:r>
      <w:r>
        <w:rPr>
          <w:rFonts w:ascii="仿宋" w:eastAsia="仿宋" w:hAnsi="仿宋" w:cs="仿宋"/>
        </w:rPr>
        <w:t>当下改</w:t>
      </w:r>
      <w:r>
        <w:rPr>
          <w:rFonts w:ascii="仿宋" w:eastAsia="仿宋" w:hAnsi="仿宋" w:cs="仿宋"/>
        </w:rPr>
        <w:t>”</w:t>
      </w:r>
      <w:r>
        <w:rPr>
          <w:rFonts w:ascii="仿宋" w:eastAsia="仿宋" w:hAnsi="仿宋" w:cs="仿宋"/>
        </w:rPr>
        <w:t>典型案例</w:t>
      </w:r>
      <w:r>
        <w:rPr>
          <w:rFonts w:ascii="仿宋" w:eastAsia="仿宋" w:hAnsi="仿宋" w:cs="仿宋"/>
        </w:rPr>
        <w:t>7</w:t>
      </w:r>
      <w:r>
        <w:rPr>
          <w:rFonts w:ascii="仿宋" w:eastAsia="仿宋" w:hAnsi="仿宋" w:cs="仿宋"/>
        </w:rPr>
        <w:t>例。四是强化干部队伍建设。坚持党管干部原则，完善选人用人机制，注重在急难险重任务中培养选拔干部。注</w:t>
      </w:r>
      <w:r>
        <w:rPr>
          <w:rFonts w:ascii="仿宋" w:eastAsia="仿宋" w:hAnsi="仿宋" w:cs="仿宋"/>
        </w:rPr>
        <w:t>重提高党员队伍素质，分局干部参加主题教育读书班</w:t>
      </w:r>
      <w:r>
        <w:rPr>
          <w:rFonts w:ascii="仿宋" w:eastAsia="仿宋" w:hAnsi="仿宋" w:cs="仿宋"/>
        </w:rPr>
        <w:t>2</w:t>
      </w:r>
      <w:r>
        <w:rPr>
          <w:rFonts w:ascii="仿宋" w:eastAsia="仿宋" w:hAnsi="仿宋" w:cs="仿宋"/>
        </w:rPr>
        <w:t>期、党性教育培训班</w:t>
      </w:r>
      <w:r>
        <w:rPr>
          <w:rFonts w:ascii="仿宋" w:eastAsia="仿宋" w:hAnsi="仿宋" w:cs="仿宋"/>
        </w:rPr>
        <w:t>4</w:t>
      </w:r>
      <w:r>
        <w:rPr>
          <w:rFonts w:ascii="仿宋" w:eastAsia="仿宋" w:hAnsi="仿宋" w:cs="仿宋"/>
        </w:rPr>
        <w:t>期、参观研学活动</w:t>
      </w:r>
      <w:r>
        <w:rPr>
          <w:rFonts w:ascii="仿宋" w:eastAsia="仿宋" w:hAnsi="仿宋" w:cs="仿宋"/>
        </w:rPr>
        <w:t>1</w:t>
      </w:r>
      <w:r>
        <w:rPr>
          <w:rFonts w:ascii="仿宋" w:eastAsia="仿宋" w:hAnsi="仿宋" w:cs="仿宋"/>
        </w:rPr>
        <w:t>场。严格党员培养过程，规范发展程序，</w:t>
      </w:r>
      <w:r>
        <w:rPr>
          <w:rFonts w:ascii="仿宋" w:eastAsia="仿宋" w:hAnsi="仿宋" w:cs="仿宋"/>
        </w:rPr>
        <w:t>1</w:t>
      </w:r>
      <w:r>
        <w:rPr>
          <w:rFonts w:ascii="仿宋" w:eastAsia="仿宋" w:hAnsi="仿宋" w:cs="仿宋"/>
        </w:rPr>
        <w:t>名预备党员转为正式党员，为党员队伍增添新鲜血液。制订落实分局年度干部能力提升教育培训计划，持续推进科室人员绩效考核，强化考核激励机制及结果运</w:t>
      </w:r>
      <w:r>
        <w:rPr>
          <w:rFonts w:ascii="仿宋" w:eastAsia="仿宋" w:hAnsi="仿宋" w:cs="仿宋"/>
        </w:rPr>
        <w:lastRenderedPageBreak/>
        <w:t>用，营造干事创业氛围。</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）实施全民参保计划</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重点做好在校中小学生、退役军人、灵活就业人员、新业态从业人员、困难群体及流动人员的参保登记服务工作，确保应保尽保。根据市局《南京市基本医疗保险全面参保专项行动工作方案》及用人单位依法参保工作部署会要求</w:t>
      </w:r>
      <w:r>
        <w:rPr>
          <w:rFonts w:ascii="仿宋" w:eastAsia="仿宋" w:hAnsi="仿宋" w:cs="仿宋"/>
        </w:rPr>
        <w:t>，落实扩面征缴工作，协同区医保中心细化任务到街（镇）、社区（村），深入宣传动员，走访调查未参保户籍人员</w:t>
      </w:r>
      <w:r>
        <w:rPr>
          <w:rFonts w:ascii="仿宋" w:eastAsia="仿宋" w:hAnsi="仿宋" w:cs="仿宋"/>
        </w:rPr>
        <w:t>3717</w:t>
      </w:r>
      <w:r>
        <w:rPr>
          <w:rFonts w:ascii="仿宋" w:eastAsia="仿宋" w:hAnsi="仿宋" w:cs="仿宋"/>
        </w:rPr>
        <w:t>户。对未参保用人单位，中国邮政</w:t>
      </w:r>
      <w:r>
        <w:rPr>
          <w:rFonts w:ascii="仿宋" w:eastAsia="仿宋" w:hAnsi="仿宋" w:cs="仿宋"/>
        </w:rPr>
        <w:t>EMS</w:t>
      </w:r>
      <w:r>
        <w:rPr>
          <w:rFonts w:ascii="仿宋" w:eastAsia="仿宋" w:hAnsi="仿宋" w:cs="仿宋"/>
        </w:rPr>
        <w:t>根据区医保中心摸排的应保未保单位名单和地址，完成向</w:t>
      </w:r>
      <w:r>
        <w:rPr>
          <w:rFonts w:ascii="仿宋" w:eastAsia="仿宋" w:hAnsi="仿宋" w:cs="仿宋"/>
        </w:rPr>
        <w:t>501</w:t>
      </w:r>
      <w:r>
        <w:rPr>
          <w:rFonts w:ascii="仿宋" w:eastAsia="仿宋" w:hAnsi="仿宋" w:cs="仿宋"/>
        </w:rPr>
        <w:t>家用人单位的《责令限期改正通知书》投递工作，确保参保率达</w:t>
      </w:r>
      <w:r>
        <w:rPr>
          <w:rFonts w:ascii="仿宋" w:eastAsia="仿宋" w:hAnsi="仿宋" w:cs="仿宋"/>
        </w:rPr>
        <w:t>99%</w:t>
      </w:r>
      <w:r>
        <w:rPr>
          <w:rFonts w:ascii="仿宋" w:eastAsia="仿宋" w:hAnsi="仿宋" w:cs="仿宋"/>
        </w:rPr>
        <w:t>以上。积极开展</w:t>
      </w:r>
      <w:r>
        <w:rPr>
          <w:rFonts w:ascii="仿宋" w:eastAsia="仿宋" w:hAnsi="仿宋" w:cs="仿宋"/>
        </w:rPr>
        <w:t>“</w:t>
      </w:r>
      <w:r>
        <w:rPr>
          <w:rFonts w:ascii="仿宋" w:eastAsia="仿宋" w:hAnsi="仿宋" w:cs="仿宋"/>
        </w:rPr>
        <w:t>宁惠保</w:t>
      </w:r>
      <w:r>
        <w:rPr>
          <w:rFonts w:ascii="仿宋" w:eastAsia="仿宋" w:hAnsi="仿宋" w:cs="仿宋"/>
        </w:rPr>
        <w:t>”</w:t>
      </w:r>
      <w:r>
        <w:rPr>
          <w:rFonts w:ascii="仿宋" w:eastAsia="仿宋" w:hAnsi="仿宋" w:cs="仿宋"/>
        </w:rPr>
        <w:t>四期的宣传推广，结合医保政策宣传</w:t>
      </w:r>
      <w:r>
        <w:rPr>
          <w:rFonts w:ascii="仿宋" w:eastAsia="仿宋" w:hAnsi="仿宋" w:cs="仿宋"/>
        </w:rPr>
        <w:t>“</w:t>
      </w:r>
      <w:r>
        <w:rPr>
          <w:rFonts w:ascii="仿宋" w:eastAsia="仿宋" w:hAnsi="仿宋" w:cs="仿宋"/>
        </w:rPr>
        <w:t>六走进</w:t>
      </w:r>
      <w:r>
        <w:rPr>
          <w:rFonts w:ascii="仿宋" w:eastAsia="仿宋" w:hAnsi="仿宋" w:cs="仿宋"/>
        </w:rPr>
        <w:t>”</w:t>
      </w:r>
      <w:r>
        <w:rPr>
          <w:rFonts w:ascii="仿宋" w:eastAsia="仿宋" w:hAnsi="仿宋" w:cs="仿宋"/>
        </w:rPr>
        <w:t>活动深入基层一线加大宣传，并通过</w:t>
      </w:r>
      <w:r>
        <w:rPr>
          <w:rFonts w:ascii="仿宋" w:eastAsia="仿宋" w:hAnsi="仿宋" w:cs="仿宋"/>
        </w:rPr>
        <w:t>“</w:t>
      </w:r>
      <w:r>
        <w:rPr>
          <w:rFonts w:ascii="仿宋" w:eastAsia="仿宋" w:hAnsi="仿宋" w:cs="仿宋"/>
        </w:rPr>
        <w:t>高淳发布</w:t>
      </w:r>
      <w:r>
        <w:rPr>
          <w:rFonts w:ascii="仿宋" w:eastAsia="仿宋" w:hAnsi="仿宋" w:cs="仿宋"/>
        </w:rPr>
        <w:t>”</w:t>
      </w:r>
      <w:r>
        <w:rPr>
          <w:rFonts w:ascii="仿宋" w:eastAsia="仿宋" w:hAnsi="仿宋" w:cs="仿宋"/>
        </w:rPr>
        <w:t>微信公众号等新媒体开展宣传，提高群众知晓度，满足人民群众多样化医疗保障需求。</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）加强医保基金监管</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一是开展集中宣传月活动。在全区范围内开展以</w:t>
      </w:r>
      <w:r>
        <w:rPr>
          <w:rFonts w:ascii="仿宋" w:eastAsia="仿宋" w:hAnsi="仿宋" w:cs="仿宋"/>
        </w:rPr>
        <w:t>“</w:t>
      </w:r>
      <w:r>
        <w:rPr>
          <w:rFonts w:ascii="仿宋" w:eastAsia="仿宋" w:hAnsi="仿宋" w:cs="仿宋"/>
        </w:rPr>
        <w:t>安全规范用基金守好人民</w:t>
      </w:r>
      <w:r>
        <w:rPr>
          <w:rFonts w:ascii="仿宋" w:eastAsia="仿宋" w:hAnsi="仿宋" w:cs="仿宋"/>
        </w:rPr>
        <w:t>‘</w:t>
      </w:r>
      <w:r>
        <w:rPr>
          <w:rFonts w:ascii="仿宋" w:eastAsia="仿宋" w:hAnsi="仿宋" w:cs="仿宋"/>
        </w:rPr>
        <w:t>看病钱</w:t>
      </w:r>
      <w:r>
        <w:rPr>
          <w:rFonts w:ascii="仿宋" w:eastAsia="仿宋" w:hAnsi="仿宋" w:cs="仿宋"/>
        </w:rPr>
        <w:t>’”</w:t>
      </w:r>
      <w:r>
        <w:rPr>
          <w:rFonts w:ascii="仿宋" w:eastAsia="仿宋" w:hAnsi="仿宋" w:cs="仿宋"/>
        </w:rPr>
        <w:t>为主题的集中宣传月活动，积极开展线上线下宣传，发放宣传海报、折页等宣传材料约</w:t>
      </w:r>
      <w:r>
        <w:rPr>
          <w:rFonts w:ascii="仿宋" w:eastAsia="仿宋" w:hAnsi="仿宋" w:cs="仿宋"/>
        </w:rPr>
        <w:t>1500</w:t>
      </w:r>
      <w:r>
        <w:rPr>
          <w:rFonts w:ascii="仿宋" w:eastAsia="仿宋" w:hAnsi="仿宋" w:cs="仿宋"/>
        </w:rPr>
        <w:t>余份，赴街道、社区开展政策宣讲活动</w:t>
      </w:r>
      <w:r>
        <w:rPr>
          <w:rFonts w:ascii="仿宋" w:eastAsia="仿宋" w:hAnsi="仿宋" w:cs="仿宋"/>
        </w:rPr>
        <w:t>3</w:t>
      </w:r>
      <w:r>
        <w:rPr>
          <w:rFonts w:ascii="仿宋" w:eastAsia="仿宋" w:hAnsi="仿宋" w:cs="仿宋"/>
        </w:rPr>
        <w:t>场次，现场宣传讲解打击欺诈骗保、职工医保门诊共济等医保政策，宣传受众</w:t>
      </w:r>
      <w:r>
        <w:rPr>
          <w:rFonts w:ascii="仿宋" w:eastAsia="仿宋" w:hAnsi="仿宋" w:cs="仿宋"/>
        </w:rPr>
        <w:t>200</w:t>
      </w:r>
      <w:r>
        <w:rPr>
          <w:rFonts w:ascii="仿宋" w:eastAsia="仿宋" w:hAnsi="仿宋" w:cs="仿宋"/>
        </w:rPr>
        <w:t>余人。二是宣传贯彻《江苏省医疗保障条例》。多方位开展宣传，充分发挥报纸、电视等传统新闻媒体的主渠道作用，积极利用微信公众号、抖音、快手等新媒体，开展多层次、多渠道的条例普法宣</w:t>
      </w:r>
      <w:r>
        <w:rPr>
          <w:rFonts w:ascii="仿宋" w:eastAsia="仿宋" w:hAnsi="仿宋" w:cs="仿宋"/>
        </w:rPr>
        <w:lastRenderedPageBreak/>
        <w:t>传，着力提升群众知晓度。同时组织全体人员认真学习了解《条例》内容和</w:t>
      </w:r>
      <w:r>
        <w:rPr>
          <w:rFonts w:ascii="仿宋" w:eastAsia="仿宋" w:hAnsi="仿宋" w:cs="仿宋"/>
        </w:rPr>
        <w:t>要求，加大培训工作，确保《条例》得到及时有效地贯彻落实。三是加大现场监管检查力度。制定</w:t>
      </w:r>
      <w:r>
        <w:rPr>
          <w:rFonts w:ascii="仿宋" w:eastAsia="仿宋" w:hAnsi="仿宋" w:cs="仿宋"/>
        </w:rPr>
        <w:t>2023</w:t>
      </w:r>
      <w:r>
        <w:rPr>
          <w:rFonts w:ascii="仿宋" w:eastAsia="仿宋" w:hAnsi="仿宋" w:cs="仿宋"/>
        </w:rPr>
        <w:t>年</w:t>
      </w:r>
      <w:r>
        <w:rPr>
          <w:rFonts w:ascii="仿宋" w:eastAsia="仿宋" w:hAnsi="仿宋" w:cs="仿宋"/>
        </w:rPr>
        <w:t>“</w:t>
      </w:r>
      <w:r>
        <w:rPr>
          <w:rFonts w:ascii="仿宋" w:eastAsia="仿宋" w:hAnsi="仿宋" w:cs="仿宋"/>
        </w:rPr>
        <w:t>双随机、一公开</w:t>
      </w:r>
      <w:r>
        <w:rPr>
          <w:rFonts w:ascii="仿宋" w:eastAsia="仿宋" w:hAnsi="仿宋" w:cs="仿宋"/>
        </w:rPr>
        <w:t>”</w:t>
      </w:r>
      <w:r>
        <w:rPr>
          <w:rFonts w:ascii="仿宋" w:eastAsia="仿宋" w:hAnsi="仿宋" w:cs="仿宋"/>
        </w:rPr>
        <w:t>监管计划，联合区市监局现场检查定点零售药店</w:t>
      </w:r>
      <w:r>
        <w:rPr>
          <w:rFonts w:ascii="仿宋" w:eastAsia="仿宋" w:hAnsi="仿宋" w:cs="仿宋"/>
        </w:rPr>
        <w:t>12</w:t>
      </w:r>
      <w:r>
        <w:rPr>
          <w:rFonts w:ascii="仿宋" w:eastAsia="仿宋" w:hAnsi="仿宋" w:cs="仿宋"/>
        </w:rPr>
        <w:t>家、定点医疗机构</w:t>
      </w:r>
      <w:r>
        <w:rPr>
          <w:rFonts w:ascii="仿宋" w:eastAsia="仿宋" w:hAnsi="仿宋" w:cs="仿宋"/>
        </w:rPr>
        <w:t>4</w:t>
      </w:r>
      <w:r>
        <w:rPr>
          <w:rFonts w:ascii="仿宋" w:eastAsia="仿宋" w:hAnsi="仿宋" w:cs="仿宋"/>
        </w:rPr>
        <w:t>家。认真做好国家局下派</w:t>
      </w:r>
      <w:r>
        <w:rPr>
          <w:rFonts w:ascii="仿宋" w:eastAsia="仿宋" w:hAnsi="仿宋" w:cs="仿宋"/>
        </w:rPr>
        <w:t>“</w:t>
      </w:r>
      <w:r>
        <w:rPr>
          <w:rFonts w:ascii="仿宋" w:eastAsia="仿宋" w:hAnsi="仿宋" w:cs="仿宋"/>
        </w:rPr>
        <w:t>团进团出</w:t>
      </w:r>
      <w:r>
        <w:rPr>
          <w:rFonts w:ascii="仿宋" w:eastAsia="仿宋" w:hAnsi="仿宋" w:cs="仿宋"/>
        </w:rPr>
        <w:t>”</w:t>
      </w:r>
      <w:r>
        <w:rPr>
          <w:rFonts w:ascii="仿宋" w:eastAsia="仿宋" w:hAnsi="仿宋" w:cs="仿宋"/>
        </w:rPr>
        <w:t>疑似线索的核查工作，聘请</w:t>
      </w:r>
      <w:r>
        <w:rPr>
          <w:rFonts w:ascii="仿宋" w:eastAsia="仿宋" w:hAnsi="仿宋" w:cs="仿宋"/>
        </w:rPr>
        <w:t>3</w:t>
      </w:r>
      <w:r>
        <w:rPr>
          <w:rFonts w:ascii="仿宋" w:eastAsia="仿宋" w:hAnsi="仿宋" w:cs="仿宋"/>
        </w:rPr>
        <w:t>名专家对可疑线索涉及的病案开展审查。协同区医保中心赴高淳乐成贤护理院、高淳乐成贤医院进行现场稽查，对涉及国家局下发可疑线索的乐成贤医院进行取证，并针对过度诊疗、低指征住院等情况下发整改通知书及时整改。赴南京高堂老街护理院实地调查总额预算（床日）结算医疗机构住院费用异常情况。</w:t>
      </w:r>
      <w:r>
        <w:rPr>
          <w:rFonts w:ascii="仿宋" w:eastAsia="仿宋" w:hAnsi="仿宋" w:cs="仿宋"/>
        </w:rPr>
        <w:t>四是加强</w:t>
      </w:r>
      <w:r>
        <w:rPr>
          <w:rFonts w:ascii="仿宋" w:eastAsia="仿宋" w:hAnsi="仿宋" w:cs="仿宋"/>
        </w:rPr>
        <w:t>DRG</w:t>
      </w:r>
      <w:r>
        <w:rPr>
          <w:rFonts w:ascii="仿宋" w:eastAsia="仿宋" w:hAnsi="仿宋" w:cs="仿宋"/>
        </w:rPr>
        <w:t>运行下</w:t>
      </w:r>
      <w:r>
        <w:rPr>
          <w:rFonts w:ascii="仿宋" w:eastAsia="仿宋" w:hAnsi="仿宋" w:cs="仿宋"/>
        </w:rPr>
        <w:t>15</w:t>
      </w:r>
      <w:r>
        <w:rPr>
          <w:rFonts w:ascii="仿宋" w:eastAsia="仿宋" w:hAnsi="仿宋" w:cs="仿宋"/>
        </w:rPr>
        <w:t>天出院再住院日常监管。在全区</w:t>
      </w:r>
      <w:r>
        <w:rPr>
          <w:rFonts w:ascii="仿宋" w:eastAsia="仿宋" w:hAnsi="仿宋" w:cs="仿宋"/>
        </w:rPr>
        <w:t>21</w:t>
      </w:r>
      <w:r>
        <w:rPr>
          <w:rFonts w:ascii="仿宋" w:eastAsia="仿宋" w:hAnsi="仿宋" w:cs="仿宋"/>
        </w:rPr>
        <w:t>家有住院服务的定点医疗机构参与</w:t>
      </w:r>
      <w:r>
        <w:rPr>
          <w:rFonts w:ascii="仿宋" w:eastAsia="仿宋" w:hAnsi="仿宋" w:cs="仿宋"/>
        </w:rPr>
        <w:t>DRG</w:t>
      </w:r>
      <w:r>
        <w:rPr>
          <w:rFonts w:ascii="仿宋" w:eastAsia="仿宋" w:hAnsi="仿宋" w:cs="仿宋"/>
        </w:rPr>
        <w:t>支付方式改革结算基础上，赴</w:t>
      </w:r>
      <w:r>
        <w:rPr>
          <w:rFonts w:ascii="仿宋" w:eastAsia="仿宋" w:hAnsi="仿宋" w:cs="仿宋"/>
        </w:rPr>
        <w:t>13</w:t>
      </w:r>
      <w:r>
        <w:rPr>
          <w:rFonts w:ascii="仿宋" w:eastAsia="仿宋" w:hAnsi="仿宋" w:cs="仿宋"/>
        </w:rPr>
        <w:t>家医院现场调研</w:t>
      </w:r>
      <w:r>
        <w:rPr>
          <w:rFonts w:ascii="仿宋" w:eastAsia="仿宋" w:hAnsi="仿宋" w:cs="仿宋"/>
        </w:rPr>
        <w:t>DRG</w:t>
      </w:r>
      <w:r>
        <w:rPr>
          <w:rFonts w:ascii="仿宋" w:eastAsia="仿宋" w:hAnsi="仿宋" w:cs="仿宋"/>
        </w:rPr>
        <w:t>结算情况，指导定点医疗机构分析</w:t>
      </w:r>
      <w:r>
        <w:rPr>
          <w:rFonts w:ascii="仿宋" w:eastAsia="仿宋" w:hAnsi="仿宋" w:cs="仿宋"/>
        </w:rPr>
        <w:t>DRG</w:t>
      </w:r>
      <w:r>
        <w:rPr>
          <w:rFonts w:ascii="仿宋" w:eastAsia="仿宋" w:hAnsi="仿宋" w:cs="仿宋"/>
        </w:rPr>
        <w:t>月度运行情况，把控病案填报质量，建立病案上传审核机制。针对</w:t>
      </w:r>
      <w:r>
        <w:rPr>
          <w:rFonts w:ascii="仿宋" w:eastAsia="仿宋" w:hAnsi="仿宋" w:cs="仿宋"/>
        </w:rPr>
        <w:t>“15</w:t>
      </w:r>
      <w:r>
        <w:rPr>
          <w:rFonts w:ascii="仿宋" w:eastAsia="仿宋" w:hAnsi="仿宋" w:cs="仿宋"/>
        </w:rPr>
        <w:t>天出院再住院</w:t>
      </w:r>
      <w:r>
        <w:rPr>
          <w:rFonts w:ascii="仿宋" w:eastAsia="仿宋" w:hAnsi="仿宋" w:cs="仿宋"/>
        </w:rPr>
        <w:t>”</w:t>
      </w:r>
      <w:r>
        <w:rPr>
          <w:rFonts w:ascii="仿宋" w:eastAsia="仿宋" w:hAnsi="仿宋" w:cs="仿宋"/>
        </w:rPr>
        <w:t>等问题，落实好重点病组保障政策，并通过开展专项治理、政策宣传引导、建立争议协调处理机制等措施，有效保障患者权益。五是加强门诊共济费用监管。贯彻落实《关于进一步加强我市职工医保门诊统筹管理的通知》要求，督促医疗机构控制门诊次均费用，针对职工医保门诊统筹次均费</w:t>
      </w:r>
      <w:r>
        <w:rPr>
          <w:rFonts w:ascii="仿宋" w:eastAsia="仿宋" w:hAnsi="仿宋" w:cs="仿宋"/>
        </w:rPr>
        <w:t>用进入全市前十及环比增长在</w:t>
      </w:r>
      <w:r>
        <w:rPr>
          <w:rFonts w:ascii="仿宋" w:eastAsia="仿宋" w:hAnsi="仿宋" w:cs="仿宋"/>
        </w:rPr>
        <w:t>30%(</w:t>
      </w:r>
      <w:r>
        <w:rPr>
          <w:rFonts w:ascii="仿宋" w:eastAsia="仿宋" w:hAnsi="仿宋" w:cs="仿宋"/>
        </w:rPr>
        <w:t>含</w:t>
      </w:r>
      <w:r>
        <w:rPr>
          <w:rFonts w:ascii="仿宋" w:eastAsia="仿宋" w:hAnsi="仿宋" w:cs="仿宋"/>
        </w:rPr>
        <w:t>)-40%</w:t>
      </w:r>
      <w:r>
        <w:rPr>
          <w:rFonts w:ascii="仿宋" w:eastAsia="仿宋" w:hAnsi="仿宋" w:cs="仿宋"/>
        </w:rPr>
        <w:t>之间或同比增长在</w:t>
      </w:r>
      <w:r>
        <w:rPr>
          <w:rFonts w:ascii="仿宋" w:eastAsia="仿宋" w:hAnsi="仿宋" w:cs="仿宋"/>
        </w:rPr>
        <w:t>40%(</w:t>
      </w:r>
      <w:r>
        <w:rPr>
          <w:rFonts w:ascii="仿宋" w:eastAsia="仿宋" w:hAnsi="仿宋" w:cs="仿宋"/>
        </w:rPr>
        <w:t>含</w:t>
      </w:r>
      <w:r>
        <w:rPr>
          <w:rFonts w:ascii="仿宋" w:eastAsia="仿宋" w:hAnsi="仿宋" w:cs="仿宋"/>
        </w:rPr>
        <w:t>)-60%</w:t>
      </w:r>
      <w:r>
        <w:rPr>
          <w:rFonts w:ascii="仿宋" w:eastAsia="仿宋" w:hAnsi="仿宋" w:cs="仿宋"/>
        </w:rPr>
        <w:t>之间的情况及时约谈相关医院负责人。六是开展检验检测试剂集中采购专项治理。梳理区内二级及以上定点医疗机构检验检测试剂线上线下采购数据、检验检测医疗服务项目开展情</w:t>
      </w:r>
      <w:r>
        <w:rPr>
          <w:rFonts w:ascii="仿宋" w:eastAsia="仿宋" w:hAnsi="仿宋" w:cs="仿宋"/>
        </w:rPr>
        <w:lastRenderedPageBreak/>
        <w:t>况、部分耗材带量采购、部分生物医药创新产品的任务完成情况，赴高淳区妇幼保健院、名悦妇产医院、高淳精防院等开展检验检测试剂现场检查，督促相关医疗机构开展自查整改，确保检验检测试剂网上采购率达到</w:t>
      </w:r>
      <w:r>
        <w:rPr>
          <w:rFonts w:ascii="仿宋" w:eastAsia="仿宋" w:hAnsi="仿宋" w:cs="仿宋"/>
        </w:rPr>
        <w:t>98%</w:t>
      </w:r>
      <w:r>
        <w:rPr>
          <w:rFonts w:ascii="仿宋" w:eastAsia="仿宋" w:hAnsi="仿宋" w:cs="仿宋"/>
        </w:rPr>
        <w:t>以上。</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）强化医疗救助托底功能</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一是加大政策业务培训力度。贯彻落实《关于</w:t>
      </w:r>
      <w:r>
        <w:rPr>
          <w:rFonts w:ascii="仿宋" w:eastAsia="仿宋" w:hAnsi="仿宋" w:cs="仿宋"/>
        </w:rPr>
        <w:t>进一步完善重特大疾病医疗保险和救助制度的实施意见》，提高救助水平，实现重点群体门诊救助比例</w:t>
      </w:r>
      <w:r>
        <w:rPr>
          <w:rFonts w:ascii="仿宋" w:eastAsia="仿宋" w:hAnsi="仿宋" w:cs="仿宋"/>
        </w:rPr>
        <w:t>80%</w:t>
      </w:r>
      <w:r>
        <w:rPr>
          <w:rFonts w:ascii="仿宋" w:eastAsia="仿宋" w:hAnsi="仿宋" w:cs="仿宋"/>
        </w:rPr>
        <w:t>以上，住院及门诊特殊病种救助比例</w:t>
      </w:r>
      <w:r>
        <w:rPr>
          <w:rFonts w:ascii="仿宋" w:eastAsia="仿宋" w:hAnsi="仿宋" w:cs="仿宋"/>
        </w:rPr>
        <w:t>90%</w:t>
      </w:r>
      <w:r>
        <w:rPr>
          <w:rFonts w:ascii="仿宋" w:eastAsia="仿宋" w:hAnsi="仿宋" w:cs="仿宋"/>
        </w:rPr>
        <w:t>以上。积极对接市医保局，统一医疗救助新政策业务口径，优化经办流程，加大街道（镇）零星报销业务人员政策培训力度，开展业务培训</w:t>
      </w:r>
      <w:r>
        <w:rPr>
          <w:rFonts w:ascii="仿宋" w:eastAsia="仿宋" w:hAnsi="仿宋" w:cs="仿宋"/>
        </w:rPr>
        <w:t>3</w:t>
      </w:r>
      <w:r>
        <w:rPr>
          <w:rFonts w:ascii="仿宋" w:eastAsia="仿宋" w:hAnsi="仿宋" w:cs="仿宋"/>
        </w:rPr>
        <w:t>期。二是切实厘清重点人员分类。积极对接困难人员身份认定的入口部门，厘清底数，梳理医疗救助同步结算平台中困难人员分类，确保具有多重身份的困难人员按照就高原则享受医疗救助待遇。截止</w:t>
      </w:r>
      <w:r>
        <w:rPr>
          <w:rFonts w:ascii="仿宋" w:eastAsia="仿宋" w:hAnsi="仿宋" w:cs="仿宋"/>
        </w:rPr>
        <w:t>10</w:t>
      </w:r>
      <w:r>
        <w:rPr>
          <w:rFonts w:ascii="仿宋" w:eastAsia="仿宋" w:hAnsi="仿宋" w:cs="仿宋"/>
        </w:rPr>
        <w:t>月</w:t>
      </w:r>
      <w:r>
        <w:rPr>
          <w:rFonts w:ascii="仿宋" w:eastAsia="仿宋" w:hAnsi="仿宋" w:cs="仿宋"/>
        </w:rPr>
        <w:t>31</w:t>
      </w:r>
      <w:r>
        <w:rPr>
          <w:rFonts w:ascii="仿宋" w:eastAsia="仿宋" w:hAnsi="仿宋" w:cs="仿宋"/>
        </w:rPr>
        <w:t>日，全区医疗救助人次为</w:t>
      </w:r>
      <w:r>
        <w:rPr>
          <w:rFonts w:ascii="仿宋" w:eastAsia="仿宋" w:hAnsi="仿宋" w:cs="仿宋"/>
        </w:rPr>
        <w:t>292702</w:t>
      </w:r>
      <w:r>
        <w:rPr>
          <w:rFonts w:ascii="仿宋" w:eastAsia="仿宋" w:hAnsi="仿宋" w:cs="仿宋"/>
        </w:rPr>
        <w:t>人次，支出医疗救助费用为</w:t>
      </w:r>
      <w:r>
        <w:rPr>
          <w:rFonts w:ascii="仿宋" w:eastAsia="仿宋" w:hAnsi="仿宋" w:cs="仿宋"/>
        </w:rPr>
        <w:t>4766.</w:t>
      </w:r>
      <w:r>
        <w:rPr>
          <w:rFonts w:ascii="仿宋" w:eastAsia="仿宋" w:hAnsi="仿宋" w:cs="仿宋"/>
        </w:rPr>
        <w:t>45</w:t>
      </w:r>
      <w:r>
        <w:rPr>
          <w:rFonts w:ascii="仿宋" w:eastAsia="仿宋" w:hAnsi="仿宋" w:cs="仿宋"/>
        </w:rPr>
        <w:t>万元。三是配合做好市审计反馈数据整改。梳理查明问题数据所涉及的违规医疗救助待遇情况，明确责任，发函至相关入口部门，分类开展违规医疗救助待遇的追缴工作。完成</w:t>
      </w:r>
      <w:r>
        <w:rPr>
          <w:rFonts w:ascii="仿宋" w:eastAsia="仿宋" w:hAnsi="仿宋" w:cs="仿宋"/>
        </w:rPr>
        <w:t>6</w:t>
      </w:r>
      <w:r>
        <w:rPr>
          <w:rFonts w:ascii="仿宋" w:eastAsia="仿宋" w:hAnsi="仿宋" w:cs="仿宋"/>
        </w:rPr>
        <w:t>人违规医疗救助费用的追缴，共</w:t>
      </w:r>
      <w:r>
        <w:rPr>
          <w:rFonts w:ascii="仿宋" w:eastAsia="仿宋" w:hAnsi="仿宋" w:cs="仿宋"/>
        </w:rPr>
        <w:t>2571.04</w:t>
      </w:r>
      <w:r>
        <w:rPr>
          <w:rFonts w:ascii="仿宋" w:eastAsia="仿宋" w:hAnsi="仿宋" w:cs="仿宋"/>
        </w:rPr>
        <w:t>元。</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）落实长护险巩固提升年工作</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一是提升从业人员素质。督促承办机构制定《南京市失能人员照护保险失能等级评估标准（修订版）》等政策、照护专业知识、常用护理项目及实操等培训计划，按照每季度至少一次的频</w:t>
      </w:r>
      <w:r>
        <w:rPr>
          <w:rFonts w:ascii="仿宋" w:eastAsia="仿宋" w:hAnsi="仿宋" w:cs="仿宋"/>
        </w:rPr>
        <w:lastRenderedPageBreak/>
        <w:t>率对全区所有经办、评估、护理人员进行培训考核。对接区总工会、人社局、妇联等相关部门，指导承办机构组织策划高淳</w:t>
      </w:r>
      <w:r>
        <w:rPr>
          <w:rFonts w:ascii="仿宋" w:eastAsia="仿宋" w:hAnsi="仿宋" w:cs="仿宋"/>
        </w:rPr>
        <w:t>区首届长护险护理技能竞赛，有效提升了我区照护人员护理技能。同时指导承办机构组织区内优秀照护人员参加市级长护险技能大赛，经过理论知识和操作技能综合评定，我区荣获</w:t>
      </w:r>
      <w:r>
        <w:rPr>
          <w:rFonts w:ascii="仿宋" w:eastAsia="仿宋" w:hAnsi="仿宋" w:cs="仿宋"/>
        </w:rPr>
        <w:t>2023</w:t>
      </w:r>
      <w:r>
        <w:rPr>
          <w:rFonts w:ascii="仿宋" w:eastAsia="仿宋" w:hAnsi="仿宋" w:cs="仿宋"/>
        </w:rPr>
        <w:t>年度南京市长护险技能大赛优秀个人</w:t>
      </w:r>
      <w:r>
        <w:rPr>
          <w:rFonts w:ascii="仿宋" w:eastAsia="仿宋" w:hAnsi="仿宋" w:cs="仿宋"/>
        </w:rPr>
        <w:t>2</w:t>
      </w:r>
      <w:r>
        <w:rPr>
          <w:rFonts w:ascii="仿宋" w:eastAsia="仿宋" w:hAnsi="仿宋" w:cs="仿宋"/>
        </w:rPr>
        <w:t>名。二是落实三级稽查机制。落实窗口经办日常入户稽查、承办机构月度突击稽查、分局季度全覆盖稽查的三级稽查机制、</w:t>
      </w:r>
      <w:r>
        <w:rPr>
          <w:rFonts w:ascii="仿宋" w:eastAsia="仿宋" w:hAnsi="仿宋" w:cs="仿宋"/>
        </w:rPr>
        <w:t>“</w:t>
      </w:r>
      <w:r>
        <w:rPr>
          <w:rFonts w:ascii="仿宋" w:eastAsia="仿宋" w:hAnsi="仿宋" w:cs="仿宋"/>
        </w:rPr>
        <w:t>稽核、通报、约谈整改、清退处罚</w:t>
      </w:r>
      <w:r>
        <w:rPr>
          <w:rFonts w:ascii="仿宋" w:eastAsia="仿宋" w:hAnsi="仿宋" w:cs="仿宋"/>
        </w:rPr>
        <w:t>”</w:t>
      </w:r>
      <w:r>
        <w:rPr>
          <w:rFonts w:ascii="仿宋" w:eastAsia="仿宋" w:hAnsi="仿宋" w:cs="仿宋"/>
        </w:rPr>
        <w:t>管理机制，并将稽核结果纳入对照护机构的年终考核，以监管的高压态势倒逼照护机构提高服务质量。今年累计发布稽核通报</w:t>
      </w:r>
      <w:r>
        <w:rPr>
          <w:rFonts w:ascii="仿宋" w:eastAsia="仿宋" w:hAnsi="仿宋" w:cs="仿宋"/>
        </w:rPr>
        <w:t>20</w:t>
      </w:r>
      <w:r>
        <w:rPr>
          <w:rFonts w:ascii="仿宋" w:eastAsia="仿宋" w:hAnsi="仿宋" w:cs="仿宋"/>
        </w:rPr>
        <w:t>次，约谈整改机构</w:t>
      </w:r>
      <w:r>
        <w:rPr>
          <w:rFonts w:ascii="仿宋" w:eastAsia="仿宋" w:hAnsi="仿宋" w:cs="仿宋"/>
        </w:rPr>
        <w:t>38</w:t>
      </w:r>
      <w:r>
        <w:rPr>
          <w:rFonts w:ascii="仿宋" w:eastAsia="仿宋" w:hAnsi="仿宋" w:cs="仿宋"/>
        </w:rPr>
        <w:t>家，追回失能保险基金约</w:t>
      </w:r>
      <w:r>
        <w:rPr>
          <w:rFonts w:ascii="仿宋" w:eastAsia="仿宋" w:hAnsi="仿宋" w:cs="仿宋"/>
        </w:rPr>
        <w:t>5.1</w:t>
      </w:r>
      <w:r>
        <w:rPr>
          <w:rFonts w:ascii="仿宋" w:eastAsia="仿宋" w:hAnsi="仿宋" w:cs="仿宋"/>
        </w:rPr>
        <w:t>万元，有</w:t>
      </w:r>
      <w:r>
        <w:rPr>
          <w:rFonts w:ascii="仿宋" w:eastAsia="仿宋" w:hAnsi="仿宋" w:cs="仿宋"/>
        </w:rPr>
        <w:t>效保障了失能保险基金安全运行。</w:t>
      </w:r>
      <w:r>
        <w:rPr>
          <w:rFonts w:ascii="仿宋" w:eastAsia="仿宋" w:hAnsi="仿宋" w:cs="仿宋"/>
        </w:rPr>
        <w:t>2023</w:t>
      </w:r>
      <w:r>
        <w:rPr>
          <w:rFonts w:ascii="仿宋" w:eastAsia="仿宋" w:hAnsi="仿宋" w:cs="仿宋"/>
        </w:rPr>
        <w:t>年度已复核的失能人员累计</w:t>
      </w:r>
      <w:r>
        <w:rPr>
          <w:rFonts w:ascii="仿宋" w:eastAsia="仿宋" w:hAnsi="仿宋" w:cs="仿宋"/>
        </w:rPr>
        <w:t>5180</w:t>
      </w:r>
      <w:r>
        <w:rPr>
          <w:rFonts w:ascii="仿宋" w:eastAsia="仿宋" w:hAnsi="仿宋" w:cs="仿宋"/>
        </w:rPr>
        <w:t>人，稽核覆盖率高达</w:t>
      </w:r>
      <w:r>
        <w:rPr>
          <w:rFonts w:ascii="仿宋" w:eastAsia="仿宋" w:hAnsi="仿宋" w:cs="仿宋"/>
        </w:rPr>
        <w:t>100%</w:t>
      </w:r>
      <w:r>
        <w:rPr>
          <w:rFonts w:ascii="仿宋" w:eastAsia="仿宋" w:hAnsi="仿宋" w:cs="仿宋"/>
        </w:rPr>
        <w:t>，通过稽核剔除已享受服务但不符合条件的参保人累计</w:t>
      </w:r>
      <w:r>
        <w:rPr>
          <w:rFonts w:ascii="仿宋" w:eastAsia="仿宋" w:hAnsi="仿宋" w:cs="仿宋"/>
        </w:rPr>
        <w:t>251</w:t>
      </w:r>
      <w:r>
        <w:rPr>
          <w:rFonts w:ascii="仿宋" w:eastAsia="仿宋" w:hAnsi="仿宋" w:cs="仿宋"/>
        </w:rPr>
        <w:t>人。截至</w:t>
      </w:r>
      <w:r>
        <w:rPr>
          <w:rFonts w:ascii="仿宋" w:eastAsia="仿宋" w:hAnsi="仿宋" w:cs="仿宋"/>
        </w:rPr>
        <w:t>11</w:t>
      </w:r>
      <w:r>
        <w:rPr>
          <w:rFonts w:ascii="仿宋" w:eastAsia="仿宋" w:hAnsi="仿宋" w:cs="仿宋"/>
        </w:rPr>
        <w:t>月</w:t>
      </w:r>
      <w:r>
        <w:rPr>
          <w:rFonts w:ascii="仿宋" w:eastAsia="仿宋" w:hAnsi="仿宋" w:cs="仿宋"/>
        </w:rPr>
        <w:t>24</w:t>
      </w:r>
      <w:r>
        <w:rPr>
          <w:rFonts w:ascii="仿宋" w:eastAsia="仿宋" w:hAnsi="仿宋" w:cs="仿宋"/>
        </w:rPr>
        <w:t>日，全区累计</w:t>
      </w:r>
      <w:r>
        <w:rPr>
          <w:rFonts w:ascii="仿宋" w:eastAsia="仿宋" w:hAnsi="仿宋" w:cs="仿宋"/>
        </w:rPr>
        <w:t>3101</w:t>
      </w:r>
      <w:r>
        <w:rPr>
          <w:rFonts w:ascii="仿宋" w:eastAsia="仿宋" w:hAnsi="仿宋" w:cs="仿宋"/>
        </w:rPr>
        <w:t>人（其中：养老机构照护</w:t>
      </w:r>
      <w:r>
        <w:rPr>
          <w:rFonts w:ascii="仿宋" w:eastAsia="仿宋" w:hAnsi="仿宋" w:cs="仿宋"/>
        </w:rPr>
        <w:t>540</w:t>
      </w:r>
      <w:r>
        <w:rPr>
          <w:rFonts w:ascii="仿宋" w:eastAsia="仿宋" w:hAnsi="仿宋" w:cs="仿宋"/>
        </w:rPr>
        <w:t>人，居家照护</w:t>
      </w:r>
      <w:r>
        <w:rPr>
          <w:rFonts w:ascii="仿宋" w:eastAsia="仿宋" w:hAnsi="仿宋" w:cs="仿宋"/>
        </w:rPr>
        <w:t>2561</w:t>
      </w:r>
      <w:r>
        <w:rPr>
          <w:rFonts w:ascii="仿宋" w:eastAsia="仿宋" w:hAnsi="仿宋" w:cs="仿宋"/>
        </w:rPr>
        <w:t>人）。三是加强长护险政策宣传。制定长护险专项宣传方案，充分利用融媒体平台、电视、微博以及各工作群、公众号等资源，在新华报业网、新浪新闻、紫金山新闻、龙虎网、高淳发布等渠道上累计发布宣传稿及宣传视频</w:t>
      </w:r>
      <w:r>
        <w:rPr>
          <w:rFonts w:ascii="仿宋" w:eastAsia="仿宋" w:hAnsi="仿宋" w:cs="仿宋"/>
        </w:rPr>
        <w:t>20</w:t>
      </w:r>
      <w:r>
        <w:rPr>
          <w:rFonts w:ascii="仿宋" w:eastAsia="仿宋" w:hAnsi="仿宋" w:cs="仿宋"/>
        </w:rPr>
        <w:t>余条。深入各街道（镇）、养老机构、医疗机构开展政策宣传培训，覆盖全区</w:t>
      </w:r>
      <w:r>
        <w:rPr>
          <w:rFonts w:ascii="仿宋" w:eastAsia="仿宋" w:hAnsi="仿宋" w:cs="仿宋"/>
        </w:rPr>
        <w:t>116</w:t>
      </w:r>
      <w:r>
        <w:rPr>
          <w:rFonts w:ascii="仿宋" w:eastAsia="仿宋" w:hAnsi="仿宋" w:cs="仿宋"/>
        </w:rPr>
        <w:t>个</w:t>
      </w:r>
      <w:r>
        <w:rPr>
          <w:rFonts w:ascii="仿宋" w:eastAsia="仿宋" w:hAnsi="仿宋" w:cs="仿宋"/>
        </w:rPr>
        <w:t>村（社区）会计及社保协理员、</w:t>
      </w:r>
      <w:r>
        <w:rPr>
          <w:rFonts w:ascii="仿宋" w:eastAsia="仿宋" w:hAnsi="仿宋" w:cs="仿宋"/>
        </w:rPr>
        <w:t>11</w:t>
      </w:r>
      <w:r>
        <w:rPr>
          <w:rFonts w:ascii="仿宋" w:eastAsia="仿宋" w:hAnsi="仿宋" w:cs="仿宋"/>
        </w:rPr>
        <w:t>家养老机构、</w:t>
      </w:r>
      <w:r>
        <w:rPr>
          <w:rFonts w:ascii="仿宋" w:eastAsia="仿宋" w:hAnsi="仿宋" w:cs="仿宋"/>
        </w:rPr>
        <w:t>10</w:t>
      </w:r>
      <w:r>
        <w:rPr>
          <w:rFonts w:ascii="仿宋" w:eastAsia="仿宋" w:hAnsi="仿宋" w:cs="仿宋"/>
        </w:rPr>
        <w:t>家医疗机构，共张贴海报、发放折页</w:t>
      </w:r>
      <w:r>
        <w:rPr>
          <w:rFonts w:ascii="仿宋" w:eastAsia="仿宋" w:hAnsi="仿宋" w:cs="仿宋"/>
        </w:rPr>
        <w:t>6900</w:t>
      </w:r>
      <w:r>
        <w:rPr>
          <w:rFonts w:ascii="仿宋" w:eastAsia="仿宋" w:hAnsi="仿宋" w:cs="仿宋"/>
        </w:rPr>
        <w:t>余份。四是贯彻落实区人大常委会关于长护险规范化建设情况报告审议意见。强化对评估流程的监管，建立评估结果追责机</w:t>
      </w:r>
      <w:r>
        <w:rPr>
          <w:rFonts w:ascii="仿宋" w:eastAsia="仿宋" w:hAnsi="仿宋" w:cs="仿宋"/>
        </w:rPr>
        <w:lastRenderedPageBreak/>
        <w:t>制，提升基金监管能力。探索医护结合模式，逐步扩大长护险待遇保障范围，提升待遇保障能力。深化政策宣传引导，多层次、全方位、多形式做好政策的解读工作，提升政策认知能力。完善长护险人才技能培训机制，强化人才队伍建设，提升评估照护能力。五是动态监测失能人员健康状况。照护服务机构每月报送《失能人员健康状况表》，动态监测失能人</w:t>
      </w:r>
      <w:r>
        <w:rPr>
          <w:rFonts w:ascii="仿宋" w:eastAsia="仿宋" w:hAnsi="仿宋" w:cs="仿宋"/>
        </w:rPr>
        <w:t>员生活自理能力、认知能力、肢体残疾、感知觉与沟通能力等情况，跟踪掌握失能人员信息及健康状况，并根据监测结果督促照护机构做好照护服务，对好转人员及时开展复核，提升长护险精准服务能力。</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）落实职工医保门诊共济保障机制</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一是组织全区定点医药机构参加职工医保门诊统筹业务、门统院外购药管理、电子处方流转等培训，学习门统购药电子处方流转平台相关操作，规范职工医保门诊统筹院外购药。全区</w:t>
      </w:r>
      <w:r>
        <w:rPr>
          <w:rFonts w:ascii="仿宋" w:eastAsia="仿宋" w:hAnsi="仿宋" w:cs="仿宋"/>
        </w:rPr>
        <w:t>103</w:t>
      </w:r>
      <w:r>
        <w:rPr>
          <w:rFonts w:ascii="仿宋" w:eastAsia="仿宋" w:hAnsi="仿宋" w:cs="仿宋"/>
        </w:rPr>
        <w:t>个村卫生室及</w:t>
      </w:r>
      <w:r>
        <w:rPr>
          <w:rFonts w:ascii="仿宋" w:eastAsia="仿宋" w:hAnsi="仿宋" w:cs="仿宋"/>
        </w:rPr>
        <w:t>104</w:t>
      </w:r>
      <w:r>
        <w:rPr>
          <w:rFonts w:ascii="仿宋" w:eastAsia="仿宋" w:hAnsi="仿宋" w:cs="仿宋"/>
        </w:rPr>
        <w:t>家药店开通职工医保门诊统筹服务资质，极大地方便了群众就诊报销。二是印制南京市职工医保门诊共济保障政策措施十问十</w:t>
      </w:r>
      <w:r>
        <w:rPr>
          <w:rFonts w:ascii="仿宋" w:eastAsia="仿宋" w:hAnsi="仿宋" w:cs="仿宋"/>
        </w:rPr>
        <w:t>答宣传折页</w:t>
      </w:r>
      <w:r>
        <w:rPr>
          <w:rFonts w:ascii="仿宋" w:eastAsia="仿宋" w:hAnsi="仿宋" w:cs="仿宋"/>
        </w:rPr>
        <w:t>2000</w:t>
      </w:r>
      <w:r>
        <w:rPr>
          <w:rFonts w:ascii="仿宋" w:eastAsia="仿宋" w:hAnsi="仿宋" w:cs="仿宋"/>
        </w:rPr>
        <w:t>份分发至各街道（镇），建立舆情监测和处置机制，积极主动回应社会关切。三是赴区内二、三级医疗机构实地调研医院政策宣传情况，督促全区定点医药机构做好南京市职工医保门诊共济保障政策宣传工作。</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）推进</w:t>
      </w:r>
      <w:r>
        <w:rPr>
          <w:rFonts w:ascii="仿宋" w:eastAsia="仿宋" w:hAnsi="仿宋" w:cs="仿宋"/>
        </w:rPr>
        <w:t>“15</w:t>
      </w:r>
      <w:r>
        <w:rPr>
          <w:rFonts w:ascii="仿宋" w:eastAsia="仿宋" w:hAnsi="仿宋" w:cs="仿宋"/>
        </w:rPr>
        <w:t>分钟医保服务圈</w:t>
      </w:r>
      <w:r>
        <w:rPr>
          <w:rFonts w:ascii="仿宋" w:eastAsia="仿宋" w:hAnsi="仿宋" w:cs="仿宋"/>
        </w:rPr>
        <w:t>”</w:t>
      </w:r>
      <w:r>
        <w:rPr>
          <w:rFonts w:ascii="仿宋" w:eastAsia="仿宋" w:hAnsi="仿宋" w:cs="仿宋"/>
        </w:rPr>
        <w:t>延伸服务工作</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完善高淳区</w:t>
      </w:r>
      <w:r>
        <w:rPr>
          <w:rFonts w:ascii="仿宋" w:eastAsia="仿宋" w:hAnsi="仿宋" w:cs="仿宋"/>
        </w:rPr>
        <w:t>8</w:t>
      </w:r>
      <w:r>
        <w:rPr>
          <w:rFonts w:ascii="仿宋" w:eastAsia="仿宋" w:hAnsi="仿宋" w:cs="仿宋"/>
        </w:rPr>
        <w:t>家街道（镇）便民服务中心市级示范点的建设工作，制定《高淳区</w:t>
      </w:r>
      <w:r>
        <w:rPr>
          <w:rFonts w:ascii="仿宋" w:eastAsia="仿宋" w:hAnsi="仿宋" w:cs="仿宋"/>
        </w:rPr>
        <w:t>2023</w:t>
      </w:r>
      <w:r>
        <w:rPr>
          <w:rFonts w:ascii="仿宋" w:eastAsia="仿宋" w:hAnsi="仿宋" w:cs="仿宋"/>
        </w:rPr>
        <w:t>年度</w:t>
      </w:r>
      <w:r>
        <w:rPr>
          <w:rFonts w:ascii="仿宋" w:eastAsia="仿宋" w:hAnsi="仿宋" w:cs="仿宋"/>
        </w:rPr>
        <w:t>“15</w:t>
      </w:r>
      <w:r>
        <w:rPr>
          <w:rFonts w:ascii="仿宋" w:eastAsia="仿宋" w:hAnsi="仿宋" w:cs="仿宋"/>
        </w:rPr>
        <w:t>分钟医保服务圈</w:t>
      </w:r>
      <w:r>
        <w:rPr>
          <w:rFonts w:ascii="仿宋" w:eastAsia="仿宋" w:hAnsi="仿宋" w:cs="仿宋"/>
        </w:rPr>
        <w:t>”</w:t>
      </w:r>
      <w:r>
        <w:rPr>
          <w:rFonts w:ascii="仿宋" w:eastAsia="仿宋" w:hAnsi="仿宋" w:cs="仿宋"/>
        </w:rPr>
        <w:t>省级示范点创建工作方案》，完成漆桥街道、东坝街道</w:t>
      </w:r>
      <w:r>
        <w:rPr>
          <w:rFonts w:ascii="仿宋" w:eastAsia="仿宋" w:hAnsi="仿宋" w:cs="仿宋"/>
        </w:rPr>
        <w:t>“15</w:t>
      </w:r>
      <w:r>
        <w:rPr>
          <w:rFonts w:ascii="仿宋" w:eastAsia="仿宋" w:hAnsi="仿宋" w:cs="仿宋"/>
        </w:rPr>
        <w:t>分钟医保服务</w:t>
      </w:r>
      <w:r>
        <w:rPr>
          <w:rFonts w:ascii="仿宋" w:eastAsia="仿宋" w:hAnsi="仿宋" w:cs="仿宋"/>
        </w:rPr>
        <w:lastRenderedPageBreak/>
        <w:t>圈</w:t>
      </w:r>
      <w:r>
        <w:rPr>
          <w:rFonts w:ascii="仿宋" w:eastAsia="仿宋" w:hAnsi="仿宋" w:cs="仿宋"/>
        </w:rPr>
        <w:t>”</w:t>
      </w:r>
      <w:r>
        <w:rPr>
          <w:rFonts w:ascii="仿宋" w:eastAsia="仿宋" w:hAnsi="仿宋" w:cs="仿宋"/>
        </w:rPr>
        <w:t>省级示范点建设工作，推动</w:t>
      </w:r>
      <w:r>
        <w:rPr>
          <w:rFonts w:ascii="仿宋" w:eastAsia="仿宋" w:hAnsi="仿宋" w:cs="仿宋"/>
        </w:rPr>
        <w:t>15</w:t>
      </w:r>
      <w:r>
        <w:rPr>
          <w:rFonts w:ascii="仿宋" w:eastAsia="仿宋" w:hAnsi="仿宋" w:cs="仿宋"/>
        </w:rPr>
        <w:t>项经办业务下沉。完成</w:t>
      </w:r>
      <w:r>
        <w:rPr>
          <w:rFonts w:ascii="仿宋" w:eastAsia="仿宋" w:hAnsi="仿宋" w:cs="仿宋"/>
        </w:rPr>
        <w:t>115</w:t>
      </w:r>
      <w:r>
        <w:rPr>
          <w:rFonts w:ascii="仿宋" w:eastAsia="仿宋" w:hAnsi="仿宋" w:cs="仿宋"/>
        </w:rPr>
        <w:t>家村（社区）医保服务点的建设工作，</w:t>
      </w:r>
      <w:r>
        <w:rPr>
          <w:rFonts w:ascii="仿宋" w:eastAsia="仿宋" w:hAnsi="仿宋" w:cs="仿宋"/>
        </w:rPr>
        <w:t>全区社区（村）服务点覆盖率达</w:t>
      </w:r>
      <w:r>
        <w:rPr>
          <w:rFonts w:ascii="仿宋" w:eastAsia="仿宋" w:hAnsi="仿宋" w:cs="仿宋"/>
        </w:rPr>
        <w:t>100%</w:t>
      </w:r>
      <w:r>
        <w:rPr>
          <w:rFonts w:ascii="仿宋" w:eastAsia="仿宋" w:hAnsi="仿宋" w:cs="仿宋"/>
        </w:rPr>
        <w:t>。推动</w:t>
      </w:r>
      <w:r>
        <w:rPr>
          <w:rFonts w:ascii="仿宋" w:eastAsia="仿宋" w:hAnsi="仿宋" w:cs="仿宋"/>
        </w:rPr>
        <w:t>“15</w:t>
      </w:r>
      <w:r>
        <w:rPr>
          <w:rFonts w:ascii="仿宋" w:eastAsia="仿宋" w:hAnsi="仿宋" w:cs="仿宋"/>
        </w:rPr>
        <w:t>分钟医保服务圈</w:t>
      </w:r>
      <w:r>
        <w:rPr>
          <w:rFonts w:ascii="仿宋" w:eastAsia="仿宋" w:hAnsi="仿宋" w:cs="仿宋"/>
        </w:rPr>
        <w:t>”</w:t>
      </w:r>
      <w:r>
        <w:rPr>
          <w:rFonts w:ascii="仿宋" w:eastAsia="仿宋" w:hAnsi="仿宋" w:cs="仿宋"/>
        </w:rPr>
        <w:t>建设延伸至定点医疗机构、商保机构，建成高淳人民医院、高淳中医院、城南医院</w:t>
      </w:r>
      <w:r>
        <w:rPr>
          <w:rFonts w:ascii="仿宋" w:eastAsia="仿宋" w:hAnsi="仿宋" w:cs="仿宋"/>
        </w:rPr>
        <w:t>3</w:t>
      </w:r>
      <w:r>
        <w:rPr>
          <w:rFonts w:ascii="仿宋" w:eastAsia="仿宋" w:hAnsi="仿宋" w:cs="仿宋"/>
        </w:rPr>
        <w:t>家定点医疗机构医保公共服务站及人寿保险、农商行</w:t>
      </w:r>
      <w:r>
        <w:rPr>
          <w:rFonts w:ascii="仿宋" w:eastAsia="仿宋" w:hAnsi="仿宋" w:cs="仿宋"/>
        </w:rPr>
        <w:t>2</w:t>
      </w:r>
      <w:r>
        <w:rPr>
          <w:rFonts w:ascii="仿宋" w:eastAsia="仿宋" w:hAnsi="仿宋" w:cs="仿宋"/>
        </w:rPr>
        <w:t>个医保公共服务点。</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）落实药品（耗材）集中带量采购、医疗服务价格调整备案工作</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巩固扩大国家组织集中带量采购成果，推进国家组织集中带量采购成果落地。加强集中带量采购成果落地监测，督促区内公立医疗机构完成国家组织药品</w:t>
      </w:r>
      <w:r>
        <w:rPr>
          <w:rFonts w:ascii="仿宋" w:eastAsia="仿宋" w:hAnsi="仿宋" w:cs="仿宋"/>
        </w:rPr>
        <w:t>1-8</w:t>
      </w:r>
      <w:r>
        <w:rPr>
          <w:rFonts w:ascii="仿宋" w:eastAsia="仿宋" w:hAnsi="仿宋" w:cs="仿宋"/>
        </w:rPr>
        <w:t>批</w:t>
      </w:r>
      <w:r>
        <w:rPr>
          <w:rFonts w:ascii="仿宋" w:eastAsia="仿宋" w:hAnsi="仿宋" w:cs="仿宋"/>
        </w:rPr>
        <w:t>335</w:t>
      </w:r>
      <w:r>
        <w:rPr>
          <w:rFonts w:ascii="仿宋" w:eastAsia="仿宋" w:hAnsi="仿宋" w:cs="仿宋"/>
        </w:rPr>
        <w:t>个品种、省组织药品</w:t>
      </w:r>
      <w:r>
        <w:rPr>
          <w:rFonts w:ascii="仿宋" w:eastAsia="仿宋" w:hAnsi="仿宋" w:cs="仿宋"/>
        </w:rPr>
        <w:t>1-3</w:t>
      </w:r>
      <w:r>
        <w:rPr>
          <w:rFonts w:ascii="仿宋" w:eastAsia="仿宋" w:hAnsi="仿宋" w:cs="仿宋"/>
        </w:rPr>
        <w:t>批</w:t>
      </w:r>
      <w:r>
        <w:rPr>
          <w:rFonts w:ascii="仿宋" w:eastAsia="仿宋" w:hAnsi="仿宋" w:cs="仿宋"/>
        </w:rPr>
        <w:t>52</w:t>
      </w:r>
      <w:r>
        <w:rPr>
          <w:rFonts w:ascii="仿宋" w:eastAsia="仿宋" w:hAnsi="仿宋" w:cs="仿宋"/>
        </w:rPr>
        <w:t>个品种、中成药联盟集中带量签约采购工作。指导区内公立医疗机构完成国家冠脉支架、人工髋关节、人工膝关节、脊柱等国家组织耗材集采</w:t>
      </w:r>
      <w:r>
        <w:rPr>
          <w:rFonts w:ascii="仿宋" w:eastAsia="仿宋" w:hAnsi="仿宋" w:cs="仿宋"/>
        </w:rPr>
        <w:t>1-3</w:t>
      </w:r>
      <w:r>
        <w:rPr>
          <w:rFonts w:ascii="仿宋" w:eastAsia="仿宋" w:hAnsi="仿宋" w:cs="仿宋"/>
        </w:rPr>
        <w:t>批</w:t>
      </w:r>
      <w:r>
        <w:rPr>
          <w:rFonts w:ascii="仿宋" w:eastAsia="仿宋" w:hAnsi="仿宋" w:cs="仿宋"/>
        </w:rPr>
        <w:t>4</w:t>
      </w:r>
      <w:r>
        <w:rPr>
          <w:rFonts w:ascii="仿宋" w:eastAsia="仿宋" w:hAnsi="仿宋" w:cs="仿宋"/>
        </w:rPr>
        <w:t>个产品、省组织耗材集采</w:t>
      </w:r>
      <w:r>
        <w:rPr>
          <w:rFonts w:ascii="仿宋" w:eastAsia="仿宋" w:hAnsi="仿宋" w:cs="仿宋"/>
        </w:rPr>
        <w:t>3-7</w:t>
      </w:r>
      <w:r>
        <w:rPr>
          <w:rFonts w:ascii="仿宋" w:eastAsia="仿宋" w:hAnsi="仿宋" w:cs="仿宋"/>
        </w:rPr>
        <w:t>批</w:t>
      </w:r>
      <w:r>
        <w:rPr>
          <w:rFonts w:ascii="仿宋" w:eastAsia="仿宋" w:hAnsi="仿宋" w:cs="仿宋"/>
        </w:rPr>
        <w:t>22</w:t>
      </w:r>
      <w:r>
        <w:rPr>
          <w:rFonts w:ascii="仿宋" w:eastAsia="仿宋" w:hAnsi="仿宋" w:cs="仿宋"/>
        </w:rPr>
        <w:t>个产品、市</w:t>
      </w:r>
      <w:r>
        <w:rPr>
          <w:rFonts w:ascii="仿宋" w:eastAsia="仿宋" w:hAnsi="仿宋" w:cs="仿宋"/>
        </w:rPr>
        <w:t>9</w:t>
      </w:r>
      <w:r>
        <w:rPr>
          <w:rFonts w:ascii="仿宋" w:eastAsia="仿宋" w:hAnsi="仿宋" w:cs="仿宋"/>
        </w:rPr>
        <w:t>批次普通医用耗材集中带量采购工作，确保群众享受品质优良、价格适宜的（药品）耗材。公立医疗机构药品（耗材）的网上采购率达到</w:t>
      </w:r>
      <w:r>
        <w:rPr>
          <w:rFonts w:ascii="仿宋" w:eastAsia="仿宋" w:hAnsi="仿宋" w:cs="仿宋"/>
        </w:rPr>
        <w:t>98%</w:t>
      </w:r>
      <w:r>
        <w:rPr>
          <w:rFonts w:ascii="仿宋" w:eastAsia="仿宋" w:hAnsi="仿宋" w:cs="仿宋"/>
        </w:rPr>
        <w:t>及以上。指导定点医疗机构做好</w:t>
      </w:r>
      <w:r>
        <w:rPr>
          <w:rFonts w:ascii="仿宋" w:eastAsia="仿宋" w:hAnsi="仿宋" w:cs="仿宋"/>
        </w:rPr>
        <w:t>新增医疗服务项目价格申报、调整、备案工作，加强新增医疗服务价格项目跟踪监测。</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）推进医保信息化建设</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一是进一步健全完善医保疾病诊断、手术操作、医保医师等</w:t>
      </w:r>
      <w:r>
        <w:rPr>
          <w:rFonts w:ascii="仿宋" w:eastAsia="仿宋" w:hAnsi="仿宋" w:cs="仿宋"/>
        </w:rPr>
        <w:t>14</w:t>
      </w:r>
      <w:r>
        <w:rPr>
          <w:rFonts w:ascii="仿宋" w:eastAsia="仿宋" w:hAnsi="仿宋" w:cs="仿宋"/>
        </w:rPr>
        <w:t>项内容的医疗保障信息业务编码建设工作，助力提升医保业务运行质量和决策管理水平。二是完成</w:t>
      </w:r>
      <w:r>
        <w:rPr>
          <w:rFonts w:ascii="仿宋" w:eastAsia="仿宋" w:hAnsi="仿宋" w:cs="仿宋"/>
        </w:rPr>
        <w:t>2</w:t>
      </w:r>
      <w:r>
        <w:rPr>
          <w:rFonts w:ascii="仿宋" w:eastAsia="仿宋" w:hAnsi="仿宋" w:cs="仿宋"/>
        </w:rPr>
        <w:t>家二级公立医疗机构的</w:t>
      </w:r>
      <w:r>
        <w:rPr>
          <w:rFonts w:ascii="仿宋" w:eastAsia="仿宋" w:hAnsi="仿宋" w:cs="仿宋"/>
        </w:rPr>
        <w:lastRenderedPageBreak/>
        <w:t>“</w:t>
      </w:r>
      <w:r>
        <w:rPr>
          <w:rFonts w:ascii="仿宋" w:eastAsia="仿宋" w:hAnsi="仿宋" w:cs="仿宋"/>
        </w:rPr>
        <w:t>智捷付</w:t>
      </w:r>
      <w:r>
        <w:rPr>
          <w:rFonts w:ascii="仿宋" w:eastAsia="仿宋" w:hAnsi="仿宋" w:cs="仿宋"/>
        </w:rPr>
        <w:t>”</w:t>
      </w:r>
      <w:r>
        <w:rPr>
          <w:rFonts w:ascii="仿宋" w:eastAsia="仿宋" w:hAnsi="仿宋" w:cs="仿宋"/>
        </w:rPr>
        <w:t>平台对接改造和使用。为参保人提供预约挂号，门诊缴费、报告查询、退费、住院押金、住院缴费功能的掌上服务功能。三是做好医保高铁开通及南京医保微信公众号推广工作。区内全部定点医药机构医保高铁机构开通覆盖率</w:t>
      </w:r>
      <w:r>
        <w:rPr>
          <w:rFonts w:ascii="仿宋" w:eastAsia="仿宋" w:hAnsi="仿宋" w:cs="仿宋"/>
        </w:rPr>
        <w:t>100%</w:t>
      </w:r>
      <w:r>
        <w:rPr>
          <w:rFonts w:ascii="仿宋" w:eastAsia="仿宋" w:hAnsi="仿宋" w:cs="仿宋"/>
        </w:rPr>
        <w:t>。同时认真落实《南京</w:t>
      </w:r>
      <w:r>
        <w:rPr>
          <w:rFonts w:ascii="仿宋" w:eastAsia="仿宋" w:hAnsi="仿宋" w:cs="仿宋"/>
        </w:rPr>
        <w:t>“</w:t>
      </w:r>
      <w:r>
        <w:rPr>
          <w:rFonts w:ascii="仿宋" w:eastAsia="仿宋" w:hAnsi="仿宋" w:cs="仿宋"/>
        </w:rPr>
        <w:t>医保高</w:t>
      </w:r>
      <w:r>
        <w:rPr>
          <w:rFonts w:ascii="仿宋" w:eastAsia="仿宋" w:hAnsi="仿宋" w:cs="仿宋"/>
        </w:rPr>
        <w:t>铁</w:t>
      </w:r>
      <w:r>
        <w:rPr>
          <w:rFonts w:ascii="仿宋" w:eastAsia="仿宋" w:hAnsi="仿宋" w:cs="仿宋"/>
        </w:rPr>
        <w:t>”“</w:t>
      </w:r>
      <w:r>
        <w:rPr>
          <w:rFonts w:ascii="仿宋" w:eastAsia="仿宋" w:hAnsi="仿宋" w:cs="仿宋"/>
        </w:rPr>
        <w:t>三赋能三联动走在前做示范</w:t>
      </w:r>
      <w:r>
        <w:rPr>
          <w:rFonts w:ascii="仿宋" w:eastAsia="仿宋" w:hAnsi="仿宋" w:cs="仿宋"/>
        </w:rPr>
        <w:t>”</w:t>
      </w:r>
      <w:r>
        <w:rPr>
          <w:rFonts w:ascii="仿宋" w:eastAsia="仿宋" w:hAnsi="仿宋" w:cs="仿宋"/>
        </w:rPr>
        <w:t>活动实施方案》要求，组织全体人员加强学习应用，积极开展宣传推广，为强化监管及提升服务提供良好助力。</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10</w:t>
      </w:r>
      <w:r>
        <w:rPr>
          <w:rFonts w:ascii="仿宋" w:eastAsia="仿宋" w:hAnsi="仿宋" w:cs="仿宋"/>
        </w:rPr>
        <w:t>）完成招商引资、区生物医药创新产品对接医保工作</w:t>
      </w:r>
    </w:p>
    <w:p w:rsidR="006E012F" w:rsidRDefault="00952D1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贯彻落实《</w:t>
      </w:r>
      <w:r>
        <w:rPr>
          <w:rFonts w:ascii="仿宋" w:eastAsia="仿宋" w:hAnsi="仿宋" w:cs="仿宋"/>
        </w:rPr>
        <w:t>2023</w:t>
      </w:r>
      <w:r>
        <w:rPr>
          <w:rFonts w:ascii="仿宋" w:eastAsia="仿宋" w:hAnsi="仿宋" w:cs="仿宋"/>
        </w:rPr>
        <w:t>年高淳区招商引资工作实施意见》，积极开展</w:t>
      </w:r>
      <w:r>
        <w:rPr>
          <w:rFonts w:ascii="仿宋" w:eastAsia="仿宋" w:hAnsi="仿宋" w:cs="仿宋"/>
        </w:rPr>
        <w:t>“</w:t>
      </w:r>
      <w:r>
        <w:rPr>
          <w:rFonts w:ascii="仿宋" w:eastAsia="仿宋" w:hAnsi="仿宋" w:cs="仿宋"/>
        </w:rPr>
        <w:t>拼经济、促发展</w:t>
      </w:r>
      <w:r>
        <w:rPr>
          <w:rFonts w:ascii="仿宋" w:eastAsia="仿宋" w:hAnsi="仿宋" w:cs="仿宋"/>
        </w:rPr>
        <w:t>”</w:t>
      </w:r>
      <w:r>
        <w:rPr>
          <w:rFonts w:ascii="仿宋" w:eastAsia="仿宋" w:hAnsi="仿宋" w:cs="仿宋"/>
        </w:rPr>
        <w:t>看比晒拼竞赛活动，赴苏州、江阴、无锡开展招商引资工作</w:t>
      </w:r>
      <w:r>
        <w:rPr>
          <w:rFonts w:ascii="仿宋" w:eastAsia="仿宋" w:hAnsi="仿宋" w:cs="仿宋"/>
        </w:rPr>
        <w:t>2</w:t>
      </w:r>
      <w:r>
        <w:rPr>
          <w:rFonts w:ascii="仿宋" w:eastAsia="仿宋" w:hAnsi="仿宋" w:cs="仿宋"/>
        </w:rPr>
        <w:t>次，扎实推进招商引资工作，提高招商引资工作成效，着力推动高淳区经济高质量发展。赴南京仁诺医学检验有限责任公司对接核酸释放剂试剂盒生产项目的投资数额、生产难点等问题，助力企业尽快投入生产。指导南京佑</w:t>
      </w:r>
      <w:r>
        <w:rPr>
          <w:rFonts w:ascii="仿宋" w:eastAsia="仿宋" w:hAnsi="仿宋" w:cs="仿宋"/>
        </w:rPr>
        <w:t>卫医疗科技有限公司生产的鼻腔支架申报南京生物医药创新产品。指导南京一正医疗科技有限公司对接医院开展产品应急采购，一次性吸痰管等</w:t>
      </w:r>
      <w:r>
        <w:rPr>
          <w:rFonts w:ascii="仿宋" w:eastAsia="仿宋" w:hAnsi="仿宋" w:cs="仿宋"/>
        </w:rPr>
        <w:t>4</w:t>
      </w:r>
      <w:r>
        <w:rPr>
          <w:rFonts w:ascii="仿宋" w:eastAsia="仿宋" w:hAnsi="仿宋" w:cs="仿宋"/>
        </w:rPr>
        <w:t>个耗材产品对接医保纳入市医保目录。截止目前分局完成总部企业税收</w:t>
      </w:r>
      <w:r>
        <w:rPr>
          <w:rFonts w:ascii="仿宋" w:eastAsia="仿宋" w:hAnsi="仿宋" w:cs="仿宋"/>
        </w:rPr>
        <w:t>260.5</w:t>
      </w:r>
      <w:r>
        <w:rPr>
          <w:rFonts w:ascii="仿宋" w:eastAsia="仿宋" w:hAnsi="仿宋" w:cs="仿宋"/>
        </w:rPr>
        <w:t>万元。</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4"/>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952D1E">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952D1E">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南京市医疗保障局高淳分局</w:t>
      </w:r>
    </w:p>
    <w:p w:rsidR="006E012F" w:rsidRDefault="00952D1E">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6E012F">
        <w:trPr>
          <w:trHeight w:val="544"/>
          <w:jc w:val="center"/>
        </w:trPr>
        <w:tc>
          <w:tcPr>
            <w:tcW w:w="10447" w:type="dxa"/>
            <w:gridSpan w:val="5"/>
          </w:tcPr>
          <w:p w:rsidR="006E012F" w:rsidRDefault="00952D1E">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952D1E">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952D1E">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南京市医疗保障局高淳分局</w:t>
            </w:r>
          </w:p>
        </w:tc>
        <w:tc>
          <w:tcPr>
            <w:tcW w:w="3167" w:type="dxa"/>
            <w:gridSpan w:val="2"/>
            <w:tcBorders>
              <w:bottom w:val="single" w:sz="4" w:space="0" w:color="000000"/>
            </w:tcBorders>
            <w:vAlign w:val="center"/>
          </w:tcPr>
          <w:p w:rsidR="006E012F" w:rsidRDefault="00952D1E">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4,482.13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0.07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60.77</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4,371.61</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49.97</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color w:val="000000"/>
              </w:rPr>
            </w:pPr>
            <w:r>
              <w:rPr>
                <w:rFonts w:ascii="仿宋" w:eastAsia="仿宋" w:hAnsi="仿宋" w:cs="仿宋" w:hint="eastAsia"/>
                <w:color w:val="000000"/>
                <w:lang w:eastAsia="ar-SA"/>
              </w:rPr>
              <w:t>4,482.20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color w:val="000000"/>
              </w:rPr>
            </w:pPr>
            <w:r>
              <w:rPr>
                <w:rFonts w:ascii="仿宋" w:eastAsia="仿宋" w:hAnsi="仿宋" w:cs="仿宋" w:hint="eastAsia"/>
                <w:color w:val="000000"/>
                <w:lang w:eastAsia="ar-SA"/>
              </w:rPr>
              <w:t>4,482.35</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color w:val="000000"/>
                <w:lang w:eastAsia="ar-SA"/>
              </w:rPr>
            </w:pPr>
            <w:r>
              <w:rPr>
                <w:rFonts w:ascii="仿宋" w:eastAsia="仿宋" w:hAnsi="仿宋" w:cs="仿宋" w:hint="eastAsia"/>
                <w:color w:val="000000"/>
                <w:lang w:eastAsia="ar-SA"/>
              </w:rPr>
              <w:t>0.61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color w:val="000000"/>
              </w:rPr>
            </w:pPr>
            <w:r>
              <w:rPr>
                <w:rFonts w:ascii="仿宋" w:eastAsia="仿宋" w:hAnsi="仿宋" w:cs="仿宋" w:hint="eastAsia"/>
                <w:color w:val="000000"/>
                <w:lang w:eastAsia="ar-SA"/>
              </w:rPr>
              <w:t>0.45</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color w:val="000000"/>
              </w:rPr>
            </w:pPr>
            <w:r>
              <w:rPr>
                <w:rFonts w:ascii="仿宋" w:eastAsia="仿宋" w:hAnsi="仿宋" w:cs="仿宋" w:hint="eastAsia"/>
                <w:color w:val="000000"/>
                <w:lang w:eastAsia="ar-SA"/>
              </w:rPr>
              <w:t>4,482.81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color w:val="000000"/>
              </w:rPr>
            </w:pPr>
            <w:r>
              <w:rPr>
                <w:rFonts w:ascii="仿宋" w:eastAsia="仿宋" w:hAnsi="仿宋" w:cs="仿宋" w:hint="eastAsia"/>
                <w:color w:val="000000"/>
                <w:lang w:eastAsia="ar-SA"/>
              </w:rPr>
              <w:t>4,482.81</w:t>
            </w:r>
          </w:p>
        </w:tc>
      </w:tr>
    </w:tbl>
    <w:p w:rsidR="006E012F" w:rsidRDefault="00952D1E">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952D1E">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952D1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952D1E">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2703" w:type="dxa"/>
            <w:gridSpan w:val="2"/>
            <w:vAlign w:val="center"/>
          </w:tcPr>
          <w:p w:rsidR="006E012F" w:rsidRDefault="00952D1E">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功能分类</w:t>
            </w:r>
          </w:p>
          <w:p w:rsidR="006E012F" w:rsidRDefault="00952D1E">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952D1E">
            <w:pPr>
              <w:jc w:val="right"/>
              <w:rPr>
                <w:rFonts w:ascii="仿宋" w:eastAsia="仿宋" w:hAnsi="仿宋" w:cs="仿宋"/>
                <w:sz w:val="20"/>
                <w:szCs w:val="20"/>
              </w:rPr>
            </w:pPr>
            <w:r>
              <w:rPr>
                <w:rFonts w:ascii="仿宋" w:eastAsia="仿宋" w:hAnsi="仿宋" w:cs="仿宋" w:hint="eastAsia"/>
                <w:sz w:val="20"/>
                <w:szCs w:val="20"/>
              </w:rPr>
              <w:t>4,482.20</w:t>
            </w:r>
          </w:p>
        </w:tc>
        <w:tc>
          <w:tcPr>
            <w:tcW w:w="1728" w:type="dxa"/>
            <w:tcBorders>
              <w:left w:val="single" w:sz="4" w:space="0" w:color="000000"/>
              <w:bottom w:val="single" w:sz="4" w:space="0" w:color="000000"/>
            </w:tcBorders>
            <w:vAlign w:val="center"/>
          </w:tcPr>
          <w:p w:rsidR="006E012F" w:rsidRDefault="00952D1E">
            <w:pPr>
              <w:jc w:val="right"/>
              <w:rPr>
                <w:rFonts w:ascii="仿宋" w:eastAsia="仿宋" w:hAnsi="仿宋" w:cs="仿宋"/>
                <w:sz w:val="20"/>
                <w:szCs w:val="20"/>
              </w:rPr>
            </w:pPr>
            <w:r>
              <w:rPr>
                <w:rFonts w:ascii="仿宋" w:eastAsia="仿宋" w:hAnsi="仿宋" w:cs="仿宋" w:hint="eastAsia"/>
                <w:sz w:val="20"/>
                <w:szCs w:val="20"/>
              </w:rPr>
              <w:t>4,482.13</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sz w:val="20"/>
                <w:szCs w:val="20"/>
              </w:rPr>
            </w:pPr>
            <w:r>
              <w:rPr>
                <w:rFonts w:ascii="仿宋" w:eastAsia="仿宋" w:hAnsi="仿宋" w:cs="仿宋" w:hint="eastAsia"/>
                <w:sz w:val="20"/>
                <w:szCs w:val="20"/>
              </w:rPr>
              <w:t>0.07</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60.77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60.77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20828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退役军人管理事务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20.17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20.17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2082899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其他退役军人事务管理支出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20.17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20.17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40.60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40.60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40.60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40.60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4,371.46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4,371.39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0.07</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医疗救助</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4,035.23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4,035.23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城乡医疗救助</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3,935.23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3,935.23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2101399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其他医疗救助支出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100.00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100.00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优抚对象医疗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81.86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81.86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2101401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优抚对象医疗补助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64.86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64.86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2101499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其他优抚对象医疗支出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17.00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17.00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医疗保障管理事务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246.98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246.91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0.07</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162.36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162.29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0.07</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2.95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2.95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医疗保障政策管理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其他医疗保障管理事务支出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61.66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61.66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7.39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7.39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7.39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7.39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49.97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49.97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49.97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49.97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16.72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16.72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33.25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20"/>
                <w:szCs w:val="20"/>
              </w:rPr>
            </w:pPr>
            <w:r>
              <w:rPr>
                <w:rFonts w:ascii="仿宋" w:eastAsia="仿宋" w:hAnsi="仿宋" w:cs="仿宋" w:hint="eastAsia"/>
                <w:sz w:val="20"/>
                <w:szCs w:val="20"/>
              </w:rPr>
              <w:t>33.25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952D1E">
      <w:pPr>
        <w:spacing w:before="66"/>
        <w:jc w:val="both"/>
        <w:rPr>
          <w:rFonts w:ascii="仿宋" w:eastAsia="仿宋" w:hAnsi="仿宋" w:cs="仿宋"/>
        </w:rPr>
      </w:pPr>
      <w:r>
        <w:rPr>
          <w:rFonts w:ascii="仿宋" w:eastAsia="仿宋" w:hAnsi="仿宋" w:cs="仿宋" w:hint="eastAsia"/>
          <w:color w:val="000000"/>
        </w:rPr>
        <w:lastRenderedPageBreak/>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952D1E">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952D1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952D1E">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3059" w:type="dxa"/>
            <w:gridSpan w:val="2"/>
            <w:vAlign w:val="center"/>
          </w:tcPr>
          <w:p w:rsidR="006E012F" w:rsidRDefault="00952D1E">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功能分类</w:t>
            </w:r>
          </w:p>
          <w:p w:rsidR="006E012F" w:rsidRDefault="00952D1E">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4,482.35</w:t>
            </w:r>
          </w:p>
        </w:tc>
        <w:tc>
          <w:tcPr>
            <w:tcW w:w="1897" w:type="dxa"/>
            <w:tcBorders>
              <w:left w:val="single" w:sz="4" w:space="0" w:color="000000"/>
              <w:bottom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219.87</w:t>
            </w:r>
          </w:p>
        </w:tc>
        <w:tc>
          <w:tcPr>
            <w:tcW w:w="1739" w:type="dxa"/>
            <w:tcBorders>
              <w:left w:val="single" w:sz="4" w:space="0" w:color="000000"/>
              <w:bottom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4,262.48</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60.77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60.77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20828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退役军人管理事务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20.17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20.17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2082899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其他退役军人事务管理支出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20.17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20.17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20899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40.60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40.60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2089999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40.60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40.60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4,371.61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169.91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4,201.71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医疗救助</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4,035.23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4,035.23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城乡医疗救助</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3,935.23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3,935.23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2101399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其他医疗救助支出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100.00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100.00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21014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优抚对象医疗</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81.86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81.86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2101401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优抚对象医疗补助</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64.86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64.86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2101499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其他优抚对象医疗支出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17.00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17.00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21015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医疗保障管理事务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247.13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162.51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84.62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2101501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162.51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162.51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2101504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2.95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2.95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2101505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医疗保障政策管理</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20.00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20.00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lastRenderedPageBreak/>
              <w:t>2101599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其他医疗保障管理事务支出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61.66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61.66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7.39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7.39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2109999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7.39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7.39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49.97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49.97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49.97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49.97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16.72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16.72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33.25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52D1E">
            <w:pPr>
              <w:pStyle w:val="TableParagraph"/>
              <w:spacing w:before="30"/>
              <w:ind w:left="107"/>
              <w:jc w:val="right"/>
              <w:rPr>
                <w:rFonts w:ascii="仿宋" w:eastAsia="仿宋" w:hAnsi="仿宋" w:cs="仿宋"/>
              </w:rPr>
            </w:pPr>
            <w:r>
              <w:rPr>
                <w:rFonts w:ascii="仿宋" w:eastAsia="仿宋" w:hAnsi="仿宋" w:cs="仿宋" w:hint="eastAsia"/>
              </w:rPr>
              <w:t>33.25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952D1E">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952D1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952D1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952D1E">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3221" w:type="dxa"/>
            <w:gridSpan w:val="3"/>
            <w:vAlign w:val="center"/>
          </w:tcPr>
          <w:p w:rsidR="006E012F" w:rsidRDefault="00952D1E">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952D1E">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952D1E">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952D1E">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952D1E">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4,482.13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60.77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60.77</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4,371.61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4,371.61</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49.97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49.97</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4,482.13</w:t>
            </w:r>
          </w:p>
        </w:tc>
        <w:tc>
          <w:tcPr>
            <w:tcW w:w="3667" w:type="dxa"/>
            <w:gridSpan w:val="3"/>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4,482.35</w:t>
            </w:r>
          </w:p>
        </w:tc>
        <w:tc>
          <w:tcPr>
            <w:tcW w:w="1415" w:type="dxa"/>
            <w:gridSpan w:val="2"/>
            <w:tcBorders>
              <w:top w:val="single" w:sz="4" w:space="0" w:color="000000"/>
              <w:left w:val="single" w:sz="4" w:space="0" w:color="000000"/>
              <w:bottom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4,482.35</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0.22</w:t>
            </w:r>
          </w:p>
        </w:tc>
        <w:tc>
          <w:tcPr>
            <w:tcW w:w="3667" w:type="dxa"/>
            <w:gridSpan w:val="3"/>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0.22</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4,482.35</w:t>
            </w:r>
          </w:p>
        </w:tc>
        <w:tc>
          <w:tcPr>
            <w:tcW w:w="3667" w:type="dxa"/>
            <w:gridSpan w:val="3"/>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4,482.35</w:t>
            </w:r>
          </w:p>
        </w:tc>
        <w:tc>
          <w:tcPr>
            <w:tcW w:w="1415" w:type="dxa"/>
            <w:gridSpan w:val="2"/>
            <w:tcBorders>
              <w:left w:val="single" w:sz="4" w:space="0" w:color="000000"/>
              <w:bottom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4,482.35</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952D1E">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6E012F">
        <w:trPr>
          <w:trHeight w:val="321"/>
        </w:trPr>
        <w:tc>
          <w:tcPr>
            <w:tcW w:w="15417" w:type="dxa"/>
            <w:gridSpan w:val="5"/>
            <w:vAlign w:val="center"/>
          </w:tcPr>
          <w:p w:rsidR="006E012F" w:rsidRDefault="00952D1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952D1E">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952D1E">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952D1E">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功能分类</w:t>
            </w:r>
          </w:p>
          <w:p w:rsidR="006E012F" w:rsidRDefault="00952D1E">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952D1E">
            <w:pPr>
              <w:pStyle w:val="TableParagraph"/>
              <w:jc w:val="right"/>
              <w:rPr>
                <w:rFonts w:ascii="仿宋" w:eastAsia="仿宋" w:hAnsi="仿宋" w:cs="仿宋"/>
              </w:rPr>
            </w:pPr>
            <w:r>
              <w:rPr>
                <w:rFonts w:ascii="仿宋" w:eastAsia="仿宋" w:hAnsi="仿宋" w:cs="仿宋" w:hint="eastAsia"/>
              </w:rPr>
              <w:t>4,482.35</w:t>
            </w:r>
          </w:p>
        </w:tc>
        <w:tc>
          <w:tcPr>
            <w:tcW w:w="2778" w:type="dxa"/>
            <w:tcBorders>
              <w:left w:val="single" w:sz="6" w:space="0" w:color="000000"/>
              <w:bottom w:val="single" w:sz="6" w:space="0" w:color="000000"/>
            </w:tcBorders>
          </w:tcPr>
          <w:p w:rsidR="006E012F" w:rsidRDefault="00952D1E">
            <w:pPr>
              <w:pStyle w:val="TableParagraph"/>
              <w:jc w:val="right"/>
              <w:rPr>
                <w:rFonts w:ascii="仿宋" w:eastAsia="仿宋" w:hAnsi="仿宋" w:cs="仿宋"/>
              </w:rPr>
            </w:pPr>
            <w:r>
              <w:rPr>
                <w:rFonts w:ascii="仿宋" w:eastAsia="仿宋" w:hAnsi="仿宋" w:cs="仿宋" w:hint="eastAsia"/>
              </w:rPr>
              <w:t>219.87</w:t>
            </w:r>
          </w:p>
        </w:tc>
        <w:tc>
          <w:tcPr>
            <w:tcW w:w="3155" w:type="dxa"/>
            <w:tcBorders>
              <w:left w:val="single" w:sz="6" w:space="0" w:color="000000"/>
              <w:bottom w:val="single" w:sz="6" w:space="0" w:color="000000"/>
              <w:right w:val="single" w:sz="6" w:space="0" w:color="000000"/>
            </w:tcBorders>
          </w:tcPr>
          <w:p w:rsidR="006E012F" w:rsidRDefault="00952D1E">
            <w:pPr>
              <w:pStyle w:val="TableParagraph"/>
              <w:jc w:val="right"/>
              <w:rPr>
                <w:rFonts w:ascii="仿宋" w:eastAsia="仿宋" w:hAnsi="仿宋" w:cs="仿宋"/>
              </w:rPr>
            </w:pPr>
            <w:r>
              <w:rPr>
                <w:rFonts w:ascii="仿宋" w:eastAsia="仿宋" w:hAnsi="仿宋" w:cs="仿宋" w:hint="eastAsia"/>
              </w:rPr>
              <w:t>4,262.48</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60.77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60.77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20828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退役军人管理事务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20.17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20.17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2082899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其他退役军人事务管理支出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20.17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20.17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40.60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40.60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40.60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40.60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4,371.61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169.91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4,201.71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医疗救助</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4,035.23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4,035.23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城乡医疗救助</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3,935.23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3,935.23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2101399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其他医疗救助支出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100.00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优抚对象医疗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81.86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81.86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2101401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优抚对象医疗补助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64.86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64.86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2101499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其他优抚对象医疗支出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17.00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17.00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医疗保障管理事务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247.13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162.51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84.62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162.51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162.51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2.95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2.95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医疗保障政策管理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其他医疗保障管理事务支出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61.66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61.66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lastRenderedPageBreak/>
              <w:t>21099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49.97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49.97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49.97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49.97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16.72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16.72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33.25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33.25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952D1E">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6E012F">
        <w:trPr>
          <w:trHeight w:val="319"/>
        </w:trPr>
        <w:tc>
          <w:tcPr>
            <w:tcW w:w="10515" w:type="dxa"/>
            <w:gridSpan w:val="5"/>
            <w:vAlign w:val="center"/>
          </w:tcPr>
          <w:p w:rsidR="006E012F" w:rsidRDefault="00952D1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952D1E">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952D1E">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1896" w:type="dxa"/>
            <w:vAlign w:val="center"/>
          </w:tcPr>
          <w:p w:rsidR="006E012F" w:rsidRDefault="00952D1E">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219.87</w:t>
            </w:r>
          </w:p>
        </w:tc>
        <w:tc>
          <w:tcPr>
            <w:tcW w:w="2040"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211.34</w:t>
            </w:r>
          </w:p>
        </w:tc>
        <w:tc>
          <w:tcPr>
            <w:tcW w:w="1896"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8.53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211.17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211.17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25.62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25.62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73.04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73.04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32.82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32.82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0.72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0.72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18.58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18.58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9.29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9.29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4.54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4.54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16.72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16.72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29.27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29.27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8.53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8.53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1.07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0.04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0.29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0.29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2.83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2.83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0.20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1.12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1.12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1.80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1.80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952D1E">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6E012F">
        <w:trPr>
          <w:trHeight w:val="560"/>
        </w:trPr>
        <w:tc>
          <w:tcPr>
            <w:tcW w:w="10446" w:type="dxa"/>
            <w:gridSpan w:val="5"/>
            <w:vAlign w:val="center"/>
          </w:tcPr>
          <w:p w:rsidR="006E012F" w:rsidRDefault="00952D1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952D1E">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952D1E">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3011" w:type="dxa"/>
            <w:gridSpan w:val="2"/>
          </w:tcPr>
          <w:p w:rsidR="006E012F" w:rsidRDefault="00952D1E">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952D1E">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4,482.35</w:t>
            </w:r>
          </w:p>
        </w:tc>
        <w:tc>
          <w:tcPr>
            <w:tcW w:w="1499" w:type="dxa"/>
            <w:tcBorders>
              <w:left w:val="single" w:sz="6" w:space="0" w:color="000000"/>
              <w:bottom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219.87</w:t>
            </w:r>
          </w:p>
        </w:tc>
        <w:tc>
          <w:tcPr>
            <w:tcW w:w="1512" w:type="dxa"/>
            <w:tcBorders>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4,262.48</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60.77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60.77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20828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退役军人管理事务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20.17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20.17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2082899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其他退役军人事务管理支出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20.17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20.17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40.60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40.60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40.60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40.60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4,371.61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169.91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4,201.71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医疗救助</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4,035.23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4,035.23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城乡医疗救助</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3,935.23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3,935.23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2101399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其他医疗救助支出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100.00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100.00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优抚对象医疗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81.86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81.86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2101401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优抚对象医疗补助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64.86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64.86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2101499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其他优抚对象医疗支出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17.00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17.00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医疗保障管理事务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247.13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162.51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84.62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162.51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162.51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2.95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2.95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医疗保障政策管理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2101599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其他医疗保障管理事务支出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61.66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61.66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2109999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49.97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49.97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49.97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49.97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16.72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16.72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33.25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33.25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952D1E">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6E012F">
        <w:trPr>
          <w:trHeight w:val="319"/>
        </w:trPr>
        <w:tc>
          <w:tcPr>
            <w:tcW w:w="10473" w:type="dxa"/>
            <w:gridSpan w:val="5"/>
          </w:tcPr>
          <w:p w:rsidR="006E012F" w:rsidRDefault="00952D1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952D1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952D1E">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1878" w:type="dxa"/>
            <w:vAlign w:val="center"/>
          </w:tcPr>
          <w:p w:rsidR="006E012F" w:rsidRDefault="00952D1E">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219.87</w:t>
            </w:r>
          </w:p>
        </w:tc>
        <w:tc>
          <w:tcPr>
            <w:tcW w:w="1708"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211.34</w:t>
            </w:r>
          </w:p>
        </w:tc>
        <w:tc>
          <w:tcPr>
            <w:tcW w:w="1878"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8.53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211.17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211.17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25.62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25.62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73.04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73.04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32.82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32.82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0.72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0.72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18.58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18.58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9.29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9.29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4.54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4.54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16.72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16.72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29.27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29.27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8.53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8.53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1.07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0.04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0.29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0.29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2.83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2.83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0.50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0.20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1.12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1.12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1.80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1.80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0.17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952D1E">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952D1E">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952D1E">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952D1E">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8274" w:type="dxa"/>
            <w:gridSpan w:val="8"/>
            <w:tcBorders>
              <w:bottom w:val="single" w:sz="4" w:space="0" w:color="auto"/>
            </w:tcBorders>
          </w:tcPr>
          <w:p w:rsidR="006E012F" w:rsidRDefault="00952D1E">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952D1E">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952D1E">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公务</w:t>
            </w:r>
          </w:p>
          <w:p w:rsidR="006E012F" w:rsidRDefault="00952D1E">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952D1E">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952D1E">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公务</w:t>
            </w:r>
          </w:p>
          <w:p w:rsidR="006E012F" w:rsidRDefault="00952D1E">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42"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43" w:type="dxa"/>
            <w:tcBorders>
              <w:left w:val="single" w:sz="4" w:space="0" w:color="000000"/>
              <w:bottom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0.57</w:t>
            </w:r>
          </w:p>
        </w:tc>
        <w:tc>
          <w:tcPr>
            <w:tcW w:w="1058"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10"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57"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sz w:val="18"/>
                <w:szCs w:val="18"/>
              </w:rPr>
            </w:pPr>
            <w:r>
              <w:rPr>
                <w:rFonts w:ascii="仿宋" w:eastAsia="仿宋" w:hAnsi="仿宋" w:cs="仿宋" w:hint="eastAsia"/>
                <w:sz w:val="18"/>
                <w:szCs w:val="18"/>
              </w:rPr>
              <w:t>0.57</w:t>
            </w:r>
          </w:p>
        </w:tc>
      </w:tr>
    </w:tbl>
    <w:p w:rsidR="006E012F" w:rsidRDefault="00952D1E">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5</w:t>
            </w:r>
          </w:p>
        </w:tc>
        <w:tc>
          <w:tcPr>
            <w:tcW w:w="3908"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61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2</w:t>
            </w:r>
          </w:p>
        </w:tc>
        <w:tc>
          <w:tcPr>
            <w:tcW w:w="3908" w:type="dxa"/>
            <w:tcBorders>
              <w:top w:val="single" w:sz="4" w:space="0" w:color="auto"/>
              <w:left w:val="single" w:sz="4" w:space="0" w:color="000000"/>
              <w:bottom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380</w:t>
            </w:r>
          </w:p>
        </w:tc>
      </w:tr>
    </w:tbl>
    <w:p w:rsidR="006E012F" w:rsidRDefault="00952D1E">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6E012F">
        <w:trPr>
          <w:trHeight w:val="395"/>
        </w:trPr>
        <w:tc>
          <w:tcPr>
            <w:tcW w:w="15400" w:type="dxa"/>
            <w:gridSpan w:val="5"/>
            <w:vAlign w:val="center"/>
          </w:tcPr>
          <w:p w:rsidR="006E012F" w:rsidRDefault="00952D1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952D1E">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952D1E">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1858" w:type="dxa"/>
            <w:vAlign w:val="center"/>
          </w:tcPr>
          <w:p w:rsidR="006E012F" w:rsidRDefault="00952D1E">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功能分类</w:t>
            </w:r>
          </w:p>
          <w:p w:rsidR="006E012F" w:rsidRDefault="00952D1E">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952D1E">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952D1E">
      <w:pPr>
        <w:spacing w:before="25"/>
        <w:ind w:leftChars="200" w:left="440"/>
        <w:jc w:val="both"/>
        <w:rPr>
          <w:rFonts w:ascii="仿宋" w:eastAsia="仿宋" w:hAnsi="仿宋" w:cs="仿宋"/>
          <w:lang w:val="en-US"/>
        </w:rPr>
      </w:pPr>
      <w:r>
        <w:rPr>
          <w:rFonts w:ascii="仿宋" w:eastAsia="仿宋" w:hAnsi="仿宋" w:cs="仿宋"/>
        </w:rPr>
        <w:t>本部门无政府性基金预算收入支出决算，故本表为空。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6E012F">
        <w:trPr>
          <w:trHeight w:val="395"/>
        </w:trPr>
        <w:tc>
          <w:tcPr>
            <w:tcW w:w="15400" w:type="dxa"/>
            <w:gridSpan w:val="5"/>
            <w:vAlign w:val="center"/>
          </w:tcPr>
          <w:p w:rsidR="006E012F" w:rsidRDefault="00952D1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952D1E">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952D1E">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2061" w:type="dxa"/>
            <w:vAlign w:val="center"/>
          </w:tcPr>
          <w:p w:rsidR="006E012F" w:rsidRDefault="00952D1E">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功能分类</w:t>
            </w:r>
          </w:p>
          <w:p w:rsidR="006E012F" w:rsidRDefault="00952D1E">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952D1E">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952D1E">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6E012F">
        <w:trPr>
          <w:trHeight w:val="319"/>
        </w:trPr>
        <w:tc>
          <w:tcPr>
            <w:tcW w:w="10466" w:type="dxa"/>
            <w:gridSpan w:val="3"/>
          </w:tcPr>
          <w:p w:rsidR="006E012F" w:rsidRDefault="00952D1E">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952D1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952D1E">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3834" w:type="dxa"/>
            <w:vAlign w:val="center"/>
          </w:tcPr>
          <w:p w:rsidR="006E012F" w:rsidRDefault="00952D1E">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952D1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952D1E">
            <w:pPr>
              <w:pStyle w:val="TableParagraph"/>
              <w:jc w:val="right"/>
              <w:rPr>
                <w:rFonts w:ascii="仿宋" w:eastAsia="仿宋" w:hAnsi="仿宋" w:cs="仿宋"/>
              </w:rPr>
            </w:pPr>
            <w:r>
              <w:rPr>
                <w:rFonts w:ascii="仿宋" w:eastAsia="仿宋" w:hAnsi="仿宋" w:cs="仿宋" w:hint="eastAsia"/>
              </w:rPr>
              <w:t>8.53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8.53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1.07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0.04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0.29</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2.83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0.13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0.57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0.50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0.20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1.12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52D1E">
            <w:pPr>
              <w:jc w:val="right"/>
              <w:rPr>
                <w:rFonts w:ascii="仿宋" w:eastAsia="仿宋" w:hAnsi="仿宋" w:cs="仿宋"/>
              </w:rPr>
            </w:pPr>
            <w:r>
              <w:rPr>
                <w:rFonts w:ascii="仿宋" w:eastAsia="仿宋" w:hAnsi="仿宋" w:cs="仿宋" w:hint="eastAsia"/>
              </w:rPr>
              <w:t>1.80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952D1E">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6E012F">
        <w:trPr>
          <w:trHeight w:val="333"/>
        </w:trPr>
        <w:tc>
          <w:tcPr>
            <w:tcW w:w="10459" w:type="dxa"/>
            <w:gridSpan w:val="4"/>
            <w:vAlign w:val="center"/>
          </w:tcPr>
          <w:p w:rsidR="006E012F" w:rsidRDefault="00952D1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952D1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952D1E">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南京市医疗保障局高淳分局</w:t>
            </w:r>
          </w:p>
        </w:tc>
        <w:tc>
          <w:tcPr>
            <w:tcW w:w="3273" w:type="dxa"/>
            <w:vAlign w:val="center"/>
          </w:tcPr>
          <w:p w:rsidR="006E012F" w:rsidRDefault="00952D1E">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952D1E">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52D1E">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952D1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952D1E">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p>
    <w:p w:rsidR="006E012F" w:rsidRPr="00CF349C" w:rsidRDefault="00952D1E">
      <w:pPr>
        <w:ind w:leftChars="200" w:left="440"/>
        <w:jc w:val="both"/>
        <w:rPr>
          <w:rFonts w:ascii="仿宋" w:eastAsia="仿宋" w:hAnsi="仿宋" w:cs="仿宋"/>
          <w:lang w:val="en-US"/>
        </w:rPr>
      </w:pPr>
      <w:r>
        <w:rPr>
          <w:rFonts w:ascii="仿宋" w:eastAsia="仿宋" w:hAnsi="仿宋" w:cs="仿宋" w:hint="eastAsia"/>
        </w:rPr>
        <w:t>本</w:t>
      </w:r>
      <w:r w:rsidRPr="00CF349C">
        <w:rPr>
          <w:rFonts w:ascii="仿宋" w:eastAsia="仿宋" w:hAnsi="仿宋" w:cs="仿宋" w:hint="eastAsia"/>
          <w:lang w:val="en-US"/>
        </w:rPr>
        <w:t>部门</w:t>
      </w:r>
      <w:r>
        <w:rPr>
          <w:rFonts w:ascii="仿宋" w:eastAsia="仿宋" w:hAnsi="仿宋" w:cs="仿宋" w:hint="eastAsia"/>
        </w:rPr>
        <w:t>无政府采购支出决算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952D1E">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4,482.81</w:t>
      </w:r>
      <w:r>
        <w:rPr>
          <w:rFonts w:ascii="仿宋" w:eastAsia="仿宋" w:hAnsi="仿宋" w:cs="仿宋"/>
        </w:rPr>
        <w:t>万元。与上年相比，收、支总计各减少</w:t>
      </w:r>
      <w:r>
        <w:rPr>
          <w:rFonts w:ascii="仿宋" w:eastAsia="仿宋" w:hAnsi="仿宋" w:cs="仿宋"/>
        </w:rPr>
        <w:t>848.83</w:t>
      </w:r>
      <w:r>
        <w:rPr>
          <w:rFonts w:ascii="仿宋" w:eastAsia="仿宋" w:hAnsi="仿宋" w:cs="仿宋"/>
        </w:rPr>
        <w:t>万元，减少</w:t>
      </w:r>
      <w:r>
        <w:rPr>
          <w:rFonts w:ascii="仿宋" w:eastAsia="仿宋" w:hAnsi="仿宋" w:cs="仿宋"/>
        </w:rPr>
        <w:t>15.92%</w:t>
      </w:r>
      <w:r>
        <w:rPr>
          <w:rFonts w:ascii="仿宋" w:eastAsia="仿宋" w:hAnsi="仿宋" w:cs="仿宋"/>
        </w:rPr>
        <w:t>。其中：</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4,482.81</w:t>
      </w:r>
      <w:r>
        <w:rPr>
          <w:rFonts w:ascii="仿宋" w:eastAsia="仿宋" w:hAnsi="仿宋" w:cs="仿宋"/>
          <w:b/>
        </w:rPr>
        <w:t>万元。包括：</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4,482.2</w:t>
      </w:r>
      <w:r>
        <w:rPr>
          <w:rFonts w:ascii="仿宋" w:eastAsia="仿宋" w:hAnsi="仿宋" w:cs="仿宋"/>
        </w:rPr>
        <w:t>万元。与上年相比，减少</w:t>
      </w:r>
      <w:r>
        <w:rPr>
          <w:rFonts w:ascii="仿宋" w:eastAsia="仿宋" w:hAnsi="仿宋" w:cs="仿宋"/>
        </w:rPr>
        <w:t>849.44</w:t>
      </w:r>
      <w:r>
        <w:rPr>
          <w:rFonts w:ascii="仿宋" w:eastAsia="仿宋" w:hAnsi="仿宋" w:cs="仿宋"/>
        </w:rPr>
        <w:t>万元，减少</w:t>
      </w:r>
      <w:r>
        <w:rPr>
          <w:rFonts w:ascii="仿宋" w:eastAsia="仿宋" w:hAnsi="仿宋" w:cs="仿宋"/>
        </w:rPr>
        <w:t>15.93%</w:t>
      </w:r>
      <w:r>
        <w:rPr>
          <w:rFonts w:ascii="仿宋" w:eastAsia="仿宋" w:hAnsi="仿宋" w:cs="仿宋"/>
        </w:rPr>
        <w:t>，变动原因：</w:t>
      </w:r>
      <w:r>
        <w:rPr>
          <w:rFonts w:ascii="仿宋" w:eastAsia="仿宋" w:hAnsi="仿宋" w:cs="仿宋"/>
        </w:rPr>
        <w:t>2023</w:t>
      </w:r>
      <w:r>
        <w:rPr>
          <w:rFonts w:ascii="仿宋" w:eastAsia="仿宋" w:hAnsi="仿宋" w:cs="仿宋"/>
        </w:rPr>
        <w:t>年度减少了失能保险项目及城乡医疗救助、医保公共服务等项目支出费用。</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0.61</w:t>
      </w:r>
      <w:r>
        <w:rPr>
          <w:rFonts w:ascii="仿宋" w:eastAsia="仿宋" w:hAnsi="仿宋" w:cs="仿宋"/>
        </w:rPr>
        <w:t>万元。与上年相比，增加</w:t>
      </w:r>
      <w:r>
        <w:rPr>
          <w:rFonts w:ascii="仿宋" w:eastAsia="仿宋" w:hAnsi="仿宋" w:cs="仿宋"/>
        </w:rPr>
        <w:t>0.61</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w:t>
      </w:r>
      <w:r>
        <w:rPr>
          <w:rFonts w:ascii="仿宋" w:eastAsia="仿宋" w:hAnsi="仿宋" w:cs="仿宋"/>
        </w:rPr>
        <w:t>2022</w:t>
      </w:r>
      <w:r>
        <w:rPr>
          <w:rFonts w:ascii="仿宋" w:eastAsia="仿宋" w:hAnsi="仿宋" w:cs="仿宋"/>
        </w:rPr>
        <w:t>年末公用经费</w:t>
      </w:r>
      <w:r>
        <w:rPr>
          <w:rFonts w:ascii="仿宋" w:eastAsia="仿宋" w:hAnsi="仿宋" w:cs="仿宋"/>
        </w:rPr>
        <w:t>0.27</w:t>
      </w:r>
      <w:r>
        <w:rPr>
          <w:rFonts w:ascii="仿宋" w:eastAsia="仿宋" w:hAnsi="仿宋" w:cs="仿宋"/>
        </w:rPr>
        <w:t>万元结转下年、市医保局贯标信息化建设补助款结转和结余</w:t>
      </w:r>
      <w:r>
        <w:rPr>
          <w:rFonts w:ascii="仿宋" w:eastAsia="仿宋" w:hAnsi="仿宋" w:cs="仿宋"/>
        </w:rPr>
        <w:t>0.34</w:t>
      </w:r>
      <w:r>
        <w:rPr>
          <w:rFonts w:ascii="仿宋" w:eastAsia="仿宋" w:hAnsi="仿宋" w:cs="仿宋"/>
        </w:rPr>
        <w:t>万元。</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4,482.81</w:t>
      </w:r>
      <w:r>
        <w:rPr>
          <w:rFonts w:ascii="仿宋" w:eastAsia="仿宋" w:hAnsi="仿宋" w:cs="仿宋"/>
          <w:b/>
        </w:rPr>
        <w:t>万元。包括：</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4,482.35</w:t>
      </w:r>
      <w:r>
        <w:rPr>
          <w:rFonts w:ascii="仿宋" w:eastAsia="仿宋" w:hAnsi="仿宋" w:cs="仿宋"/>
        </w:rPr>
        <w:t>万元。与上年相比，减少</w:t>
      </w:r>
      <w:r>
        <w:rPr>
          <w:rFonts w:ascii="仿宋" w:eastAsia="仿宋" w:hAnsi="仿宋" w:cs="仿宋"/>
        </w:rPr>
        <w:t>848.68</w:t>
      </w:r>
      <w:r>
        <w:rPr>
          <w:rFonts w:ascii="仿宋" w:eastAsia="仿宋" w:hAnsi="仿宋" w:cs="仿宋"/>
        </w:rPr>
        <w:t>万元，减少</w:t>
      </w:r>
      <w:r>
        <w:rPr>
          <w:rFonts w:ascii="仿宋" w:eastAsia="仿宋" w:hAnsi="仿宋" w:cs="仿宋"/>
        </w:rPr>
        <w:t>15.92%</w:t>
      </w:r>
      <w:r>
        <w:rPr>
          <w:rFonts w:ascii="仿宋" w:eastAsia="仿宋" w:hAnsi="仿宋" w:cs="仿宋"/>
        </w:rPr>
        <w:t>，变动原因：</w:t>
      </w:r>
      <w:r>
        <w:rPr>
          <w:rFonts w:ascii="仿宋" w:eastAsia="仿宋" w:hAnsi="仿宋" w:cs="仿宋"/>
        </w:rPr>
        <w:t>2023</w:t>
      </w:r>
      <w:r>
        <w:rPr>
          <w:rFonts w:ascii="仿宋" w:eastAsia="仿宋" w:hAnsi="仿宋" w:cs="仿宋"/>
        </w:rPr>
        <w:t>年度减少了失能保险项目及城乡医疗救助、医保公共服务等项目支出费用。</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0.45</w:t>
      </w:r>
      <w:r>
        <w:rPr>
          <w:rFonts w:ascii="仿宋" w:eastAsia="仿宋" w:hAnsi="仿宋" w:cs="仿宋"/>
        </w:rPr>
        <w:t>万元。结转和结余事项：基本支出结转</w:t>
      </w:r>
      <w:r>
        <w:rPr>
          <w:rFonts w:ascii="仿宋" w:eastAsia="仿宋" w:hAnsi="仿宋" w:cs="仿宋"/>
        </w:rPr>
        <w:t>0.11</w:t>
      </w:r>
      <w:r>
        <w:rPr>
          <w:rFonts w:ascii="仿宋" w:eastAsia="仿宋" w:hAnsi="仿宋" w:cs="仿宋"/>
        </w:rPr>
        <w:t>万元，市医保局贯标信息化建设补助款项目支出结转结余</w:t>
      </w:r>
      <w:r>
        <w:rPr>
          <w:rFonts w:ascii="仿宋" w:eastAsia="仿宋" w:hAnsi="仿宋" w:cs="仿宋"/>
        </w:rPr>
        <w:t>0.34</w:t>
      </w:r>
      <w:r>
        <w:rPr>
          <w:rFonts w:ascii="仿宋" w:eastAsia="仿宋" w:hAnsi="仿宋" w:cs="仿宋"/>
        </w:rPr>
        <w:t>万元。与上年相比，减少</w:t>
      </w:r>
      <w:r>
        <w:rPr>
          <w:rFonts w:ascii="仿宋" w:eastAsia="仿宋" w:hAnsi="仿宋" w:cs="仿宋"/>
        </w:rPr>
        <w:t>0.16</w:t>
      </w:r>
      <w:r>
        <w:rPr>
          <w:rFonts w:ascii="仿宋" w:eastAsia="仿宋" w:hAnsi="仿宋" w:cs="仿宋"/>
        </w:rPr>
        <w:t>万元，减少</w:t>
      </w:r>
      <w:r>
        <w:rPr>
          <w:rFonts w:ascii="仿宋" w:eastAsia="仿宋" w:hAnsi="仿宋" w:cs="仿宋"/>
        </w:rPr>
        <w:t>26.23%</w:t>
      </w:r>
      <w:r>
        <w:rPr>
          <w:rFonts w:ascii="仿宋" w:eastAsia="仿宋" w:hAnsi="仿宋" w:cs="仿宋"/>
        </w:rPr>
        <w:t>，</w:t>
      </w:r>
      <w:r>
        <w:rPr>
          <w:rFonts w:ascii="仿宋" w:eastAsia="仿宋" w:hAnsi="仿宋" w:cs="仿宋"/>
        </w:rPr>
        <w:lastRenderedPageBreak/>
        <w:t>变动原因：基本支出结转比上年减少</w:t>
      </w:r>
      <w:r>
        <w:rPr>
          <w:rFonts w:ascii="仿宋" w:eastAsia="仿宋" w:hAnsi="仿宋" w:cs="仿宋"/>
        </w:rPr>
        <w:t>0.16</w:t>
      </w:r>
      <w:r>
        <w:rPr>
          <w:rFonts w:ascii="仿宋" w:eastAsia="仿宋" w:hAnsi="仿宋" w:cs="仿宋"/>
        </w:rPr>
        <w:t>万元。</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4,482.2</w:t>
      </w:r>
      <w:r>
        <w:rPr>
          <w:rFonts w:ascii="仿宋" w:eastAsia="仿宋" w:hAnsi="仿宋" w:cs="仿宋"/>
        </w:rPr>
        <w:t>万元，其中：财政拨款收入</w:t>
      </w:r>
      <w:r>
        <w:rPr>
          <w:rFonts w:ascii="仿宋" w:eastAsia="仿宋" w:hAnsi="仿宋" w:cs="仿宋"/>
        </w:rPr>
        <w:t>4,482.13</w:t>
      </w:r>
      <w:r>
        <w:rPr>
          <w:rFonts w:ascii="仿宋" w:eastAsia="仿宋" w:hAnsi="仿宋" w:cs="仿宋"/>
        </w:rPr>
        <w:t>万元，占</w:t>
      </w:r>
      <w:r>
        <w:rPr>
          <w:rFonts w:ascii="仿宋" w:eastAsia="仿宋" w:hAnsi="仿宋" w:cs="仿宋"/>
        </w:rPr>
        <w:t>100%</w:t>
      </w:r>
      <w:r>
        <w:rPr>
          <w:rFonts w:ascii="仿宋" w:eastAsia="仿宋" w:hAnsi="仿宋" w:cs="仿宋"/>
        </w:rPr>
        <w:t>（该占比四舍五入后为</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0.07</w:t>
      </w:r>
      <w:r>
        <w:rPr>
          <w:rFonts w:ascii="仿宋" w:eastAsia="仿宋" w:hAnsi="仿宋" w:cs="仿宋"/>
        </w:rPr>
        <w:t>万元，占</w:t>
      </w:r>
      <w:r>
        <w:rPr>
          <w:rFonts w:ascii="仿宋" w:eastAsia="仿宋" w:hAnsi="仿宋" w:cs="仿宋"/>
        </w:rPr>
        <w:t>0%</w:t>
      </w:r>
      <w:r>
        <w:rPr>
          <w:rFonts w:ascii="仿宋" w:eastAsia="仿宋" w:hAnsi="仿宋" w:cs="仿宋"/>
        </w:rPr>
        <w:t>（该占比四舍五入后为</w:t>
      </w:r>
      <w:r>
        <w:rPr>
          <w:rFonts w:ascii="仿宋" w:eastAsia="仿宋" w:hAnsi="仿宋" w:cs="仿宋"/>
        </w:rPr>
        <w:t>0%</w:t>
      </w:r>
      <w:r>
        <w:rPr>
          <w:rFonts w:ascii="仿宋" w:eastAsia="仿宋" w:hAnsi="仿宋" w:cs="仿宋"/>
        </w:rPr>
        <w:t>）。</w:t>
      </w:r>
    </w:p>
    <w:p w:rsidR="006E012F" w:rsidRDefault="00952D1E">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4,482.35</w:t>
      </w:r>
      <w:r>
        <w:rPr>
          <w:rFonts w:ascii="仿宋" w:eastAsia="仿宋" w:hAnsi="仿宋" w:cs="仿宋"/>
        </w:rPr>
        <w:t>万元，其中：基本支出</w:t>
      </w:r>
      <w:r>
        <w:rPr>
          <w:rFonts w:ascii="仿宋" w:eastAsia="仿宋" w:hAnsi="仿宋" w:cs="仿宋"/>
        </w:rPr>
        <w:t>219.87</w:t>
      </w:r>
      <w:r>
        <w:rPr>
          <w:rFonts w:ascii="仿宋" w:eastAsia="仿宋" w:hAnsi="仿宋" w:cs="仿宋"/>
        </w:rPr>
        <w:t>万元，占</w:t>
      </w:r>
      <w:r>
        <w:rPr>
          <w:rFonts w:ascii="仿宋" w:eastAsia="仿宋" w:hAnsi="仿宋" w:cs="仿宋"/>
        </w:rPr>
        <w:t>4.91%</w:t>
      </w:r>
      <w:r>
        <w:rPr>
          <w:rFonts w:ascii="仿宋" w:eastAsia="仿宋" w:hAnsi="仿宋" w:cs="仿宋"/>
        </w:rPr>
        <w:t>；项目支出</w:t>
      </w:r>
      <w:r>
        <w:rPr>
          <w:rFonts w:ascii="仿宋" w:eastAsia="仿宋" w:hAnsi="仿宋" w:cs="仿宋"/>
        </w:rPr>
        <w:t>4,262.48</w:t>
      </w:r>
      <w:r>
        <w:rPr>
          <w:rFonts w:ascii="仿宋" w:eastAsia="仿宋" w:hAnsi="仿宋" w:cs="仿宋"/>
        </w:rPr>
        <w:t>万元，占</w:t>
      </w:r>
      <w:r>
        <w:rPr>
          <w:rFonts w:ascii="仿宋" w:eastAsia="仿宋" w:hAnsi="仿宋" w:cs="仿宋"/>
        </w:rPr>
        <w:t>95.09%</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952D1E">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4,482.35</w:t>
      </w:r>
      <w:r>
        <w:rPr>
          <w:rFonts w:ascii="仿宋" w:eastAsia="仿宋" w:hAnsi="仿宋" w:cs="仿宋"/>
        </w:rPr>
        <w:t>万元。与上年相比，收、支总计各减少</w:t>
      </w:r>
      <w:r>
        <w:rPr>
          <w:rFonts w:ascii="仿宋" w:eastAsia="仿宋" w:hAnsi="仿宋" w:cs="仿宋"/>
        </w:rPr>
        <w:t>846.24</w:t>
      </w:r>
      <w:r>
        <w:rPr>
          <w:rFonts w:ascii="仿宋" w:eastAsia="仿宋" w:hAnsi="仿宋" w:cs="仿宋"/>
        </w:rPr>
        <w:t>万元，减少</w:t>
      </w:r>
      <w:r>
        <w:rPr>
          <w:rFonts w:ascii="仿宋" w:eastAsia="仿宋" w:hAnsi="仿宋" w:cs="仿宋"/>
        </w:rPr>
        <w:t>15.88%</w:t>
      </w:r>
      <w:r>
        <w:rPr>
          <w:rFonts w:ascii="仿宋" w:eastAsia="仿宋" w:hAnsi="仿宋" w:cs="仿宋"/>
        </w:rPr>
        <w:t>，变动原因：</w:t>
      </w:r>
      <w:r>
        <w:rPr>
          <w:rFonts w:ascii="仿宋" w:eastAsia="仿宋" w:hAnsi="仿宋" w:cs="仿宋"/>
        </w:rPr>
        <w:t>2023</w:t>
      </w:r>
      <w:r>
        <w:rPr>
          <w:rFonts w:ascii="仿宋" w:eastAsia="仿宋" w:hAnsi="仿宋" w:cs="仿宋"/>
        </w:rPr>
        <w:t>年度减少了失能保险项目及城乡医疗救助、医保公共服务等项目支出费用。</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4,482.35</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4,403.63</w:t>
      </w:r>
      <w:r>
        <w:rPr>
          <w:rFonts w:ascii="仿宋" w:eastAsia="仿宋" w:hAnsi="仿宋" w:cs="仿宋"/>
        </w:rPr>
        <w:t>万元相比，完成年初预算的</w:t>
      </w:r>
      <w:r>
        <w:rPr>
          <w:rFonts w:ascii="仿宋" w:eastAsia="仿宋" w:hAnsi="仿宋" w:cs="仿宋"/>
        </w:rPr>
        <w:t>101.79%</w:t>
      </w:r>
      <w:r>
        <w:rPr>
          <w:rFonts w:ascii="仿宋" w:eastAsia="仿宋" w:hAnsi="仿宋" w:cs="仿宋"/>
        </w:rPr>
        <w:t>。其中：</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（一）社会保障和就业支出（类）</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退役军人管理事务（款）其他退役军人事务管理支出（项）。年初预算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20.17</w:t>
      </w:r>
      <w:r>
        <w:rPr>
          <w:rFonts w:ascii="仿宋" w:eastAsia="仿宋" w:hAnsi="仿宋" w:cs="仿宋"/>
        </w:rPr>
        <w:t>万元，（年初预算数为</w:t>
      </w:r>
      <w:r>
        <w:rPr>
          <w:rFonts w:ascii="仿宋" w:eastAsia="仿宋" w:hAnsi="仿宋" w:cs="仿宋"/>
        </w:rPr>
        <w:t>0</w:t>
      </w:r>
      <w:r>
        <w:rPr>
          <w:rFonts w:ascii="仿宋" w:eastAsia="仿宋" w:hAnsi="仿宋" w:cs="仿宋"/>
        </w:rPr>
        <w:t>万</w:t>
      </w:r>
      <w:r>
        <w:rPr>
          <w:rFonts w:ascii="仿宋" w:eastAsia="仿宋" w:hAnsi="仿宋" w:cs="仿宋"/>
        </w:rPr>
        <w:t>元，无法计算完成比率）决算数与年初预算数的差异原因：上级补助资金，年初没有预算。</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其他社会保障和就业支出（款）其他社会保障和就业支出（项）。年初预算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40.6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万元，无法计算完成比率）决算数与年初预算数的差异原因：上级补助资金，年初没有预算。</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（二）卫生健康支出（类）</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医疗救助（款）城乡医疗救助（项）。年初预算</w:t>
      </w:r>
      <w:r>
        <w:rPr>
          <w:rFonts w:ascii="仿宋" w:eastAsia="仿宋" w:hAnsi="仿宋" w:cs="仿宋"/>
        </w:rPr>
        <w:t>3,700</w:t>
      </w:r>
      <w:r>
        <w:rPr>
          <w:rFonts w:ascii="仿宋" w:eastAsia="仿宋" w:hAnsi="仿宋" w:cs="仿宋"/>
        </w:rPr>
        <w:t>万元，支出决算</w:t>
      </w:r>
      <w:r>
        <w:rPr>
          <w:rFonts w:ascii="仿宋" w:eastAsia="仿宋" w:hAnsi="仿宋" w:cs="仿宋"/>
        </w:rPr>
        <w:t>3,935.23</w:t>
      </w:r>
      <w:r>
        <w:rPr>
          <w:rFonts w:ascii="仿宋" w:eastAsia="仿宋" w:hAnsi="仿宋" w:cs="仿宋"/>
        </w:rPr>
        <w:t>万元，完成年初预算的</w:t>
      </w:r>
      <w:r>
        <w:rPr>
          <w:rFonts w:ascii="仿宋" w:eastAsia="仿宋" w:hAnsi="仿宋" w:cs="仿宋"/>
        </w:rPr>
        <w:t>106.36%</w:t>
      </w:r>
      <w:r>
        <w:rPr>
          <w:rFonts w:ascii="仿宋" w:eastAsia="仿宋" w:hAnsi="仿宋" w:cs="仿宋"/>
        </w:rPr>
        <w:t>。决算数与年初预算数的差异原因：除区级年初预算，增加了上级补助资金，决算也计入了城乡医疗救助科目。</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医疗救助（款）其他医疗救助支出（项）。年初预算</w:t>
      </w:r>
      <w:r>
        <w:rPr>
          <w:rFonts w:ascii="仿宋" w:eastAsia="仿宋" w:hAnsi="仿宋" w:cs="仿宋"/>
        </w:rPr>
        <w:t>100</w:t>
      </w:r>
      <w:r>
        <w:rPr>
          <w:rFonts w:ascii="仿宋" w:eastAsia="仿宋" w:hAnsi="仿宋" w:cs="仿宋"/>
        </w:rPr>
        <w:t>万元，支出决算</w:t>
      </w:r>
      <w:r>
        <w:rPr>
          <w:rFonts w:ascii="仿宋" w:eastAsia="仿宋" w:hAnsi="仿宋" w:cs="仿宋"/>
        </w:rPr>
        <w:t>100</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优抚对象医疗（款）优抚对象医疗补助（项）。年初预算</w:t>
      </w:r>
      <w:r>
        <w:rPr>
          <w:rFonts w:ascii="仿宋" w:eastAsia="仿宋" w:hAnsi="仿宋" w:cs="仿宋"/>
        </w:rPr>
        <w:t>100</w:t>
      </w:r>
      <w:r>
        <w:rPr>
          <w:rFonts w:ascii="仿宋" w:eastAsia="仿宋" w:hAnsi="仿宋" w:cs="仿宋"/>
        </w:rPr>
        <w:t>万元，支出决算</w:t>
      </w:r>
      <w:r>
        <w:rPr>
          <w:rFonts w:ascii="仿宋" w:eastAsia="仿宋" w:hAnsi="仿宋" w:cs="仿宋"/>
        </w:rPr>
        <w:t>64.86</w:t>
      </w:r>
      <w:r>
        <w:rPr>
          <w:rFonts w:ascii="仿宋" w:eastAsia="仿宋" w:hAnsi="仿宋" w:cs="仿宋"/>
        </w:rPr>
        <w:t>万元，完成年初预算的</w:t>
      </w:r>
      <w:r>
        <w:rPr>
          <w:rFonts w:ascii="仿宋" w:eastAsia="仿宋" w:hAnsi="仿宋" w:cs="仿宋"/>
        </w:rPr>
        <w:t>64.86%</w:t>
      </w:r>
      <w:r>
        <w:rPr>
          <w:rFonts w:ascii="仿宋" w:eastAsia="仿宋" w:hAnsi="仿宋" w:cs="仿宋"/>
        </w:rPr>
        <w:t>。决算数与年初预算数的差异原因：按实际支出。</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优抚对象医疗（款）其他优抚对象医疗支出（项）。年初预算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17</w:t>
      </w:r>
      <w:r>
        <w:rPr>
          <w:rFonts w:ascii="仿宋" w:eastAsia="仿宋" w:hAnsi="仿宋" w:cs="仿宋"/>
        </w:rPr>
        <w:t>万元，（年初预算数为</w:t>
      </w:r>
      <w:r>
        <w:rPr>
          <w:rFonts w:ascii="仿宋" w:eastAsia="仿宋" w:hAnsi="仿宋" w:cs="仿宋"/>
        </w:rPr>
        <w:t>0</w:t>
      </w:r>
      <w:r>
        <w:rPr>
          <w:rFonts w:ascii="仿宋" w:eastAsia="仿宋" w:hAnsi="仿宋" w:cs="仿宋"/>
        </w:rPr>
        <w:t>万元，无</w:t>
      </w:r>
      <w:r>
        <w:rPr>
          <w:rFonts w:ascii="仿宋" w:eastAsia="仿宋" w:hAnsi="仿宋" w:cs="仿宋"/>
        </w:rPr>
        <w:lastRenderedPageBreak/>
        <w:t>法计算完成比率）决算数与年初预算数的差异原因：上级补助资金，年初没有预算。</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医疗保障管理事务（款）行政运行（项）。年初预算</w:t>
      </w:r>
      <w:r>
        <w:rPr>
          <w:rFonts w:ascii="仿宋" w:eastAsia="仿宋" w:hAnsi="仿宋" w:cs="仿宋"/>
        </w:rPr>
        <w:t>150.69</w:t>
      </w:r>
      <w:r>
        <w:rPr>
          <w:rFonts w:ascii="仿宋" w:eastAsia="仿宋" w:hAnsi="仿宋" w:cs="仿宋"/>
        </w:rPr>
        <w:t>万元，支出决算</w:t>
      </w:r>
      <w:r>
        <w:rPr>
          <w:rFonts w:ascii="仿宋" w:eastAsia="仿宋" w:hAnsi="仿宋" w:cs="仿宋"/>
        </w:rPr>
        <w:t>162.51</w:t>
      </w:r>
      <w:r>
        <w:rPr>
          <w:rFonts w:ascii="仿宋" w:eastAsia="仿宋" w:hAnsi="仿宋" w:cs="仿宋"/>
        </w:rPr>
        <w:t>万元，完成年初预算的</w:t>
      </w:r>
      <w:r>
        <w:rPr>
          <w:rFonts w:ascii="仿宋" w:eastAsia="仿宋" w:hAnsi="仿宋" w:cs="仿宋"/>
        </w:rPr>
        <w:t>107.84%</w:t>
      </w:r>
      <w:r>
        <w:rPr>
          <w:rFonts w:ascii="仿宋" w:eastAsia="仿宋" w:hAnsi="仿宋" w:cs="仿宋"/>
        </w:rPr>
        <w:t>。决算数与年初预算数的差异原因：年度财政追加人员经费。</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w:t>
      </w:r>
      <w:r>
        <w:rPr>
          <w:rFonts w:ascii="仿宋" w:eastAsia="仿宋" w:hAnsi="仿宋" w:cs="仿宋"/>
        </w:rPr>
        <w:t>医疗保障管理事务（款）信息化建设（项）。年初预算</w:t>
      </w:r>
      <w:r>
        <w:rPr>
          <w:rFonts w:ascii="仿宋" w:eastAsia="仿宋" w:hAnsi="仿宋" w:cs="仿宋"/>
        </w:rPr>
        <w:t>30</w:t>
      </w:r>
      <w:r>
        <w:rPr>
          <w:rFonts w:ascii="仿宋" w:eastAsia="仿宋" w:hAnsi="仿宋" w:cs="仿宋"/>
        </w:rPr>
        <w:t>万元，支出决算</w:t>
      </w:r>
      <w:r>
        <w:rPr>
          <w:rFonts w:ascii="仿宋" w:eastAsia="仿宋" w:hAnsi="仿宋" w:cs="仿宋"/>
        </w:rPr>
        <w:t>2.95</w:t>
      </w:r>
      <w:r>
        <w:rPr>
          <w:rFonts w:ascii="仿宋" w:eastAsia="仿宋" w:hAnsi="仿宋" w:cs="仿宋"/>
        </w:rPr>
        <w:t>万元，完成年初预算的</w:t>
      </w:r>
      <w:r>
        <w:rPr>
          <w:rFonts w:ascii="仿宋" w:eastAsia="仿宋" w:hAnsi="仿宋" w:cs="仿宋"/>
        </w:rPr>
        <w:t>9.83%</w:t>
      </w:r>
      <w:r>
        <w:rPr>
          <w:rFonts w:ascii="仿宋" w:eastAsia="仿宋" w:hAnsi="仿宋" w:cs="仿宋"/>
        </w:rPr>
        <w:t>。决算数与年初预算数的差异原因：按照区财</w:t>
      </w:r>
      <w:r>
        <w:rPr>
          <w:rFonts w:ascii="仿宋" w:eastAsia="仿宋" w:hAnsi="仿宋" w:cs="仿宋"/>
        </w:rPr>
        <w:t>政过紧日子要求，压缩项目经费。</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w:t>
      </w:r>
      <w:r>
        <w:rPr>
          <w:rFonts w:ascii="仿宋" w:eastAsia="仿宋" w:hAnsi="仿宋" w:cs="仿宋"/>
        </w:rPr>
        <w:t>医疗保障管理事务（款）医疗保障政策管理（项）。年初预算</w:t>
      </w:r>
      <w:r>
        <w:rPr>
          <w:rFonts w:ascii="仿宋" w:eastAsia="仿宋" w:hAnsi="仿宋" w:cs="仿宋"/>
        </w:rPr>
        <w:t>20</w:t>
      </w:r>
      <w:r>
        <w:rPr>
          <w:rFonts w:ascii="仿宋" w:eastAsia="仿宋" w:hAnsi="仿宋" w:cs="仿宋"/>
        </w:rPr>
        <w:t>万元，支出决算</w:t>
      </w:r>
      <w:r>
        <w:rPr>
          <w:rFonts w:ascii="仿宋" w:eastAsia="仿宋" w:hAnsi="仿宋" w:cs="仿宋"/>
        </w:rPr>
        <w:t>20</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w:t>
      </w:r>
      <w:r>
        <w:rPr>
          <w:rFonts w:ascii="仿宋" w:eastAsia="仿宋" w:hAnsi="仿宋" w:cs="仿宋"/>
        </w:rPr>
        <w:t>医疗保障管理事务（款）其他医疗保障管理事务支出（项）。年初预算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61.66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w:t>
      </w:r>
      <w:r>
        <w:rPr>
          <w:rFonts w:ascii="仿宋" w:eastAsia="仿宋" w:hAnsi="仿宋" w:cs="仿宋"/>
        </w:rPr>
        <w:t>60</w:t>
      </w:r>
      <w:r>
        <w:rPr>
          <w:rFonts w:ascii="仿宋" w:eastAsia="仿宋" w:hAnsi="仿宋" w:cs="仿宋"/>
        </w:rPr>
        <w:t>万为</w:t>
      </w:r>
      <w:r>
        <w:rPr>
          <w:rFonts w:ascii="仿宋" w:eastAsia="仿宋" w:hAnsi="仿宋" w:cs="仿宋"/>
        </w:rPr>
        <w:t>15</w:t>
      </w:r>
      <w:r>
        <w:rPr>
          <w:rFonts w:ascii="仿宋" w:eastAsia="仿宋" w:hAnsi="仿宋" w:cs="仿宋"/>
        </w:rPr>
        <w:t>分钟医保服务圈上级补助资金，年初没有预算。</w:t>
      </w:r>
      <w:r>
        <w:rPr>
          <w:rFonts w:ascii="仿宋" w:eastAsia="仿宋" w:hAnsi="仿宋" w:cs="仿宋"/>
        </w:rPr>
        <w:t>1.66</w:t>
      </w:r>
      <w:r>
        <w:rPr>
          <w:rFonts w:ascii="仿宋" w:eastAsia="仿宋" w:hAnsi="仿宋" w:cs="仿宋"/>
        </w:rPr>
        <w:t>万为上年结转专项业务经费，年初没有预算。</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w:t>
      </w:r>
      <w:r>
        <w:rPr>
          <w:rFonts w:ascii="仿宋" w:eastAsia="仿宋" w:hAnsi="仿宋" w:cs="仿宋"/>
        </w:rPr>
        <w:t>其他卫生健康支出（款）其他卫生健康支出（项）。年初预算</w:t>
      </w:r>
      <w:r>
        <w:rPr>
          <w:rFonts w:ascii="仿宋" w:eastAsia="仿宋" w:hAnsi="仿宋" w:cs="仿宋"/>
        </w:rPr>
        <w:t>250</w:t>
      </w:r>
      <w:r>
        <w:rPr>
          <w:rFonts w:ascii="仿宋" w:eastAsia="仿宋" w:hAnsi="仿宋" w:cs="仿宋"/>
        </w:rPr>
        <w:t>万元，支</w:t>
      </w:r>
      <w:r>
        <w:rPr>
          <w:rFonts w:ascii="仿宋" w:eastAsia="仿宋" w:hAnsi="仿宋" w:cs="仿宋"/>
        </w:rPr>
        <w:t>出决算</w:t>
      </w:r>
      <w:r>
        <w:rPr>
          <w:rFonts w:ascii="仿宋" w:eastAsia="仿宋" w:hAnsi="仿宋" w:cs="仿宋"/>
        </w:rPr>
        <w:t>7.39</w:t>
      </w:r>
      <w:r>
        <w:rPr>
          <w:rFonts w:ascii="仿宋" w:eastAsia="仿宋" w:hAnsi="仿宋" w:cs="仿宋"/>
        </w:rPr>
        <w:t>万元，完成年初预算的</w:t>
      </w:r>
      <w:r>
        <w:rPr>
          <w:rFonts w:ascii="仿宋" w:eastAsia="仿宋" w:hAnsi="仿宋" w:cs="仿宋"/>
        </w:rPr>
        <w:t>2.96%</w:t>
      </w:r>
      <w:r>
        <w:rPr>
          <w:rFonts w:ascii="仿宋" w:eastAsia="仿宋" w:hAnsi="仿宋" w:cs="仿宋"/>
        </w:rPr>
        <w:t>。决算数与年初预算数的差异原因：</w:t>
      </w:r>
      <w:r>
        <w:rPr>
          <w:rFonts w:ascii="仿宋" w:eastAsia="仿宋" w:hAnsi="仿宋" w:cs="仿宋"/>
        </w:rPr>
        <w:t>2023</w:t>
      </w:r>
      <w:r>
        <w:rPr>
          <w:rFonts w:ascii="仿宋" w:eastAsia="仿宋" w:hAnsi="仿宋" w:cs="仿宋"/>
        </w:rPr>
        <w:t>年度减少了失能保险项目。</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（三）住房保障支出（类）</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16.72</w:t>
      </w:r>
      <w:r>
        <w:rPr>
          <w:rFonts w:ascii="仿宋" w:eastAsia="仿宋" w:hAnsi="仿宋" w:cs="仿宋"/>
        </w:rPr>
        <w:t>万元，支出决算</w:t>
      </w:r>
      <w:r>
        <w:rPr>
          <w:rFonts w:ascii="仿宋" w:eastAsia="仿宋" w:hAnsi="仿宋" w:cs="仿宋"/>
        </w:rPr>
        <w:t>16.72</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36.22</w:t>
      </w:r>
      <w:r>
        <w:rPr>
          <w:rFonts w:ascii="仿宋" w:eastAsia="仿宋" w:hAnsi="仿宋" w:cs="仿宋"/>
        </w:rPr>
        <w:t>万元，支出决算</w:t>
      </w:r>
      <w:r>
        <w:rPr>
          <w:rFonts w:ascii="仿宋" w:eastAsia="仿宋" w:hAnsi="仿宋" w:cs="仿宋"/>
        </w:rPr>
        <w:t>33.25</w:t>
      </w:r>
      <w:r>
        <w:rPr>
          <w:rFonts w:ascii="仿宋" w:eastAsia="仿宋" w:hAnsi="仿宋" w:cs="仿宋"/>
        </w:rPr>
        <w:t>万元，完成年初预算的</w:t>
      </w:r>
      <w:r>
        <w:rPr>
          <w:rFonts w:ascii="仿宋" w:eastAsia="仿宋" w:hAnsi="仿宋" w:cs="仿宋"/>
        </w:rPr>
        <w:t>91.8%</w:t>
      </w:r>
      <w:r>
        <w:rPr>
          <w:rFonts w:ascii="仿宋" w:eastAsia="仿宋" w:hAnsi="仿宋" w:cs="仿宋"/>
        </w:rPr>
        <w:t>。决算数与年初预算数的差异原因：科目调整。</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219.87</w:t>
      </w:r>
      <w:r>
        <w:rPr>
          <w:rFonts w:ascii="仿宋" w:eastAsia="仿宋" w:hAnsi="仿宋" w:cs="仿宋"/>
        </w:rPr>
        <w:t>万元，其中：</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211.34</w:t>
      </w:r>
      <w:r>
        <w:rPr>
          <w:rFonts w:ascii="楷体" w:eastAsia="楷体" w:hAnsi="楷体" w:cs="楷体"/>
        </w:rPr>
        <w:t>万元。</w:t>
      </w:r>
      <w:r>
        <w:rPr>
          <w:rFonts w:ascii="仿宋" w:eastAsia="仿宋" w:hAnsi="仿宋" w:cs="仿宋"/>
        </w:rPr>
        <w:t>主要包括：基本工资、津贴补贴、奖金、伙食补助费、机关事业单位基本养老保险缴费、职业年金缴费、职工基本医疗保险缴费、其他社会保障缴费、住房公积金、其他工资福利支出、医疗费补助。</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8.53</w:t>
      </w:r>
      <w:r>
        <w:rPr>
          <w:rFonts w:ascii="楷体" w:eastAsia="楷体" w:hAnsi="楷体" w:cs="楷体"/>
        </w:rPr>
        <w:t>万元。</w:t>
      </w:r>
      <w:r>
        <w:rPr>
          <w:rFonts w:ascii="仿宋" w:eastAsia="仿宋" w:hAnsi="仿宋" w:cs="仿宋"/>
        </w:rPr>
        <w:t>主要包括：办公费、印刷费、邮电费、差旅费、维修（护）费、培训费、公务接待费、工会经费、福利费、其他商品和服务支出。</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4,482.35</w:t>
      </w:r>
      <w:r>
        <w:rPr>
          <w:rFonts w:ascii="仿宋" w:eastAsia="仿宋" w:hAnsi="仿宋" w:cs="仿宋"/>
        </w:rPr>
        <w:t>万元。与上年</w:t>
      </w:r>
      <w:r>
        <w:rPr>
          <w:rFonts w:ascii="仿宋" w:eastAsia="仿宋" w:hAnsi="仿宋" w:cs="仿宋"/>
        </w:rPr>
        <w:t>相比，减少</w:t>
      </w:r>
      <w:r>
        <w:rPr>
          <w:rFonts w:ascii="仿宋" w:eastAsia="仿宋" w:hAnsi="仿宋" w:cs="仿宋"/>
        </w:rPr>
        <w:t>846.02</w:t>
      </w:r>
      <w:r>
        <w:rPr>
          <w:rFonts w:ascii="仿宋" w:eastAsia="仿宋" w:hAnsi="仿宋" w:cs="仿宋"/>
        </w:rPr>
        <w:t>万元，减少</w:t>
      </w:r>
      <w:r>
        <w:rPr>
          <w:rFonts w:ascii="仿宋" w:eastAsia="仿宋" w:hAnsi="仿宋" w:cs="仿宋"/>
        </w:rPr>
        <w:t>15.88%</w:t>
      </w:r>
      <w:r>
        <w:rPr>
          <w:rFonts w:ascii="仿宋" w:eastAsia="仿宋" w:hAnsi="仿宋" w:cs="仿宋"/>
        </w:rPr>
        <w:t>，变动原因：</w:t>
      </w:r>
      <w:r>
        <w:rPr>
          <w:rFonts w:ascii="仿宋" w:eastAsia="仿宋" w:hAnsi="仿宋" w:cs="仿宋"/>
        </w:rPr>
        <w:t>2023</w:t>
      </w:r>
      <w:r>
        <w:rPr>
          <w:rFonts w:ascii="仿宋" w:eastAsia="仿宋" w:hAnsi="仿宋" w:cs="仿宋"/>
        </w:rPr>
        <w:t>年度减少了失能保险项目及城乡医疗救助、医保公共服务等项目支出费用。</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年度一般公共预算财政拨款基本支出决算</w:t>
      </w:r>
      <w:r>
        <w:rPr>
          <w:rFonts w:ascii="仿宋" w:eastAsia="仿宋" w:hAnsi="仿宋" w:cs="仿宋"/>
        </w:rPr>
        <w:t>219.87</w:t>
      </w:r>
      <w:r>
        <w:rPr>
          <w:rFonts w:ascii="仿宋" w:eastAsia="仿宋" w:hAnsi="仿宋" w:cs="仿宋"/>
        </w:rPr>
        <w:t>万元，其中：</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211.34</w:t>
      </w:r>
      <w:r>
        <w:rPr>
          <w:rFonts w:ascii="楷体" w:eastAsia="楷体" w:hAnsi="楷体" w:cs="楷体"/>
        </w:rPr>
        <w:t>万元。</w:t>
      </w:r>
      <w:r>
        <w:rPr>
          <w:rFonts w:ascii="仿宋" w:eastAsia="仿宋" w:hAnsi="仿宋" w:cs="仿宋"/>
        </w:rPr>
        <w:t>主要包括：基本工资、津贴补贴、奖金、伙食补助费、机关事业单位基本养老保险缴费、职业年金缴费、职工基本医疗保险缴费、其他社会保障缴费、住房公积金、其他工资福利支出、医疗费补助。</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8.53</w:t>
      </w:r>
      <w:r>
        <w:rPr>
          <w:rFonts w:ascii="楷体" w:eastAsia="楷体" w:hAnsi="楷体" w:cs="楷体"/>
        </w:rPr>
        <w:t>万元。</w:t>
      </w:r>
      <w:r>
        <w:rPr>
          <w:rFonts w:ascii="仿宋" w:eastAsia="仿宋" w:hAnsi="仿宋" w:cs="仿宋"/>
        </w:rPr>
        <w:t>主要包括：办公费、印刷费、邮电费、差</w:t>
      </w:r>
      <w:r>
        <w:rPr>
          <w:rFonts w:ascii="仿宋" w:eastAsia="仿宋" w:hAnsi="仿宋" w:cs="仿宋"/>
        </w:rPr>
        <w:t>旅费、维修（护）费、培训费、公务接待费、工会经费、福利费、其他商品和服务支出。</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0.42</w:t>
      </w:r>
      <w:r>
        <w:rPr>
          <w:rFonts w:ascii="仿宋" w:eastAsia="仿宋" w:hAnsi="仿宋" w:cs="仿宋"/>
        </w:rPr>
        <w:t>万元，变动原因：严格贯彻落实厉行节约反对浪费精神，加强公务接待管理，严格控制相关费用，支出相应减少。其中，因公出国（境）费支出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w:t>
      </w:r>
      <w:r>
        <w:rPr>
          <w:rFonts w:ascii="仿宋" w:eastAsia="仿宋" w:hAnsi="仿宋" w:cs="仿宋"/>
        </w:rPr>
        <w:t>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0.5</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lastRenderedPageBreak/>
        <w:t>0</w:t>
      </w:r>
      <w:r>
        <w:rPr>
          <w:rFonts w:ascii="仿宋" w:eastAsia="仿宋" w:hAnsi="仿宋" w:cs="仿宋"/>
        </w:rPr>
        <w:t>万元）。</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r>
        <w:rPr>
          <w:rFonts w:ascii="仿宋" w:eastAsia="仿宋" w:hAnsi="仿宋" w:cs="仿宋"/>
        </w:rPr>
        <w:t>，完成调整后预算的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0</w:t>
      </w:r>
      <w:r>
        <w:rPr>
          <w:rFonts w:ascii="仿宋" w:eastAsia="仿宋" w:hAnsi="仿宋" w:cs="仿宋"/>
        </w:rPr>
        <w:t>万元。公务用车运</w:t>
      </w:r>
      <w:r>
        <w:rPr>
          <w:rFonts w:ascii="仿宋" w:eastAsia="仿宋" w:hAnsi="仿宋" w:cs="仿宋"/>
        </w:rPr>
        <w:t>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0</w:t>
      </w:r>
      <w:r>
        <w:rPr>
          <w:rFonts w:ascii="仿宋" w:eastAsia="仿宋" w:hAnsi="仿宋" w:cs="仿宋"/>
        </w:rPr>
        <w:t>辆。</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w:t>
      </w:r>
      <w:r>
        <w:rPr>
          <w:rFonts w:ascii="仿宋" w:eastAsia="仿宋" w:hAnsi="仿宋" w:cs="仿宋"/>
        </w:rPr>
        <w:lastRenderedPageBreak/>
        <w:t>支出</w:t>
      </w:r>
      <w:r>
        <w:rPr>
          <w:rFonts w:ascii="仿宋" w:eastAsia="仿宋" w:hAnsi="仿宋" w:cs="仿宋"/>
        </w:rPr>
        <w:t>0</w:t>
      </w:r>
      <w:r>
        <w:rPr>
          <w:rFonts w:ascii="仿宋" w:eastAsia="仿宋" w:hAnsi="仿宋" w:cs="仿宋"/>
        </w:rPr>
        <w:t>万元），支出决算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0.5</w:t>
      </w:r>
      <w:r>
        <w:rPr>
          <w:rFonts w:ascii="仿宋" w:eastAsia="仿宋" w:hAnsi="仿宋" w:cs="仿宋"/>
        </w:rPr>
        <w:t>万元，接待</w:t>
      </w:r>
      <w:r>
        <w:rPr>
          <w:rFonts w:ascii="仿宋" w:eastAsia="仿宋" w:hAnsi="仿宋" w:cs="仿宋"/>
        </w:rPr>
        <w:t>5</w:t>
      </w:r>
      <w:r>
        <w:rPr>
          <w:rFonts w:ascii="仿宋" w:eastAsia="仿宋" w:hAnsi="仿宋" w:cs="仿宋"/>
        </w:rPr>
        <w:t>批次，</w:t>
      </w:r>
      <w:r>
        <w:rPr>
          <w:rFonts w:ascii="仿宋" w:eastAsia="仿宋" w:hAnsi="仿宋" w:cs="仿宋"/>
        </w:rPr>
        <w:t>61</w:t>
      </w:r>
      <w:r>
        <w:rPr>
          <w:rFonts w:ascii="仿宋" w:eastAsia="仿宋" w:hAnsi="仿宋" w:cs="仿宋"/>
        </w:rPr>
        <w:t>人次，开支内容：上</w:t>
      </w:r>
      <w:r>
        <w:rPr>
          <w:rFonts w:ascii="仿宋" w:eastAsia="仿宋" w:hAnsi="仿宋" w:cs="仿宋"/>
        </w:rPr>
        <w:t>级督查、调研及本级招商引资等；国（境）外公务接待支出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2023</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0.57</w:t>
      </w:r>
      <w:r>
        <w:rPr>
          <w:rFonts w:ascii="仿宋" w:eastAsia="仿宋" w:hAnsi="仿宋" w:cs="仿宋"/>
        </w:rPr>
        <w:t>万元（其中：一般公共预算支出</w:t>
      </w:r>
      <w:r>
        <w:rPr>
          <w:rFonts w:ascii="仿宋" w:eastAsia="仿宋" w:hAnsi="仿宋" w:cs="仿宋"/>
        </w:rPr>
        <w:t>0.57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0.57</w:t>
      </w:r>
      <w:r>
        <w:rPr>
          <w:rFonts w:ascii="仿宋" w:eastAsia="仿宋" w:hAnsi="仿宋" w:cs="仿宋"/>
        </w:rPr>
        <w:t>万元（其中：一般公共预算支出</w:t>
      </w:r>
      <w:r>
        <w:rPr>
          <w:rFonts w:ascii="仿宋" w:eastAsia="仿宋" w:hAnsi="仿宋" w:cs="仿宋"/>
        </w:rPr>
        <w:t>0.57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2023</w:t>
      </w:r>
      <w:r>
        <w:rPr>
          <w:rFonts w:ascii="仿宋" w:eastAsia="仿宋" w:hAnsi="仿宋" w:cs="仿宋"/>
        </w:rPr>
        <w:t>年度全年组织培训</w:t>
      </w:r>
      <w:r>
        <w:rPr>
          <w:rFonts w:ascii="仿宋" w:eastAsia="仿宋" w:hAnsi="仿宋" w:cs="仿宋"/>
        </w:rPr>
        <w:t>2</w:t>
      </w:r>
      <w:r>
        <w:rPr>
          <w:rFonts w:ascii="仿宋" w:eastAsia="仿宋" w:hAnsi="仿宋" w:cs="仿宋"/>
        </w:rPr>
        <w:t>个，组织培训</w:t>
      </w:r>
      <w:r>
        <w:rPr>
          <w:rFonts w:ascii="仿宋" w:eastAsia="仿宋" w:hAnsi="仿宋" w:cs="仿宋"/>
        </w:rPr>
        <w:t>380</w:t>
      </w:r>
      <w:r>
        <w:rPr>
          <w:rFonts w:ascii="仿宋" w:eastAsia="仿宋" w:hAnsi="仿宋" w:cs="仿宋"/>
        </w:rPr>
        <w:t>人次，开支内容：开展医保基金监管等业务布置会、培训会等。</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r>
        <w:rPr>
          <w:rFonts w:ascii="仿宋" w:eastAsia="仿宋" w:hAnsi="仿宋" w:cs="仿宋"/>
        </w:rPr>
        <w:t>。</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8.53</w:t>
      </w:r>
      <w:r>
        <w:rPr>
          <w:rFonts w:ascii="仿宋" w:eastAsia="仿宋" w:hAnsi="仿宋" w:cs="仿宋"/>
        </w:rPr>
        <w:t>万元（其中：一般公共预算支出</w:t>
      </w:r>
      <w:r>
        <w:rPr>
          <w:rFonts w:ascii="仿宋" w:eastAsia="仿宋" w:hAnsi="仿宋" w:cs="仿宋"/>
        </w:rPr>
        <w:t>8.53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2.22</w:t>
      </w:r>
      <w:r>
        <w:rPr>
          <w:rFonts w:ascii="仿宋" w:eastAsia="仿宋" w:hAnsi="仿宋" w:cs="仿宋"/>
        </w:rPr>
        <w:t>万元，增长</w:t>
      </w:r>
      <w:r>
        <w:rPr>
          <w:rFonts w:ascii="仿宋" w:eastAsia="仿宋" w:hAnsi="仿宋" w:cs="仿宋"/>
        </w:rPr>
        <w:t>35.18%</w:t>
      </w:r>
      <w:r>
        <w:rPr>
          <w:rFonts w:ascii="仿宋" w:eastAsia="仿宋" w:hAnsi="仿宋" w:cs="仿宋"/>
        </w:rPr>
        <w:t>，变动原因：办公设备老化维修费增加。</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0</w:t>
      </w:r>
      <w:r>
        <w:rPr>
          <w:rFonts w:ascii="仿宋" w:eastAsia="仿宋" w:hAnsi="仿宋" w:cs="仿宋"/>
        </w:rPr>
        <w:t>万元，其中：政府采购货物支出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万元，其中：授予小微企业合同金额</w:t>
      </w:r>
      <w:r>
        <w:rPr>
          <w:rFonts w:ascii="仿宋" w:eastAsia="仿宋" w:hAnsi="仿宋" w:cs="仿宋"/>
        </w:rPr>
        <w:t>0</w:t>
      </w:r>
      <w:r>
        <w:rPr>
          <w:rFonts w:ascii="仿宋" w:eastAsia="仿宋" w:hAnsi="仿宋" w:cs="仿宋"/>
        </w:rPr>
        <w:t>万元。</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日，本部门共有车辆</w:t>
      </w:r>
      <w:r>
        <w:rPr>
          <w:rFonts w:ascii="仿宋" w:eastAsia="仿宋" w:hAnsi="仿宋" w:cs="仿宋"/>
        </w:rPr>
        <w:t>0</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6E012F" w:rsidRDefault="00952D1E" w:rsidP="009839F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十五、预算绩效评价工作开展情况</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年度，本部门共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万元；本部门未开展部门整体支出财政重点绩效评价，涉及财政性资金</w:t>
      </w:r>
      <w:r>
        <w:rPr>
          <w:rFonts w:ascii="仿宋" w:eastAsia="仿宋" w:hAnsi="仿宋" w:cs="仿宋"/>
        </w:rPr>
        <w:t>0</w:t>
      </w:r>
      <w:r>
        <w:rPr>
          <w:rFonts w:ascii="仿宋" w:eastAsia="仿宋" w:hAnsi="仿宋" w:cs="仿宋"/>
        </w:rPr>
        <w:t>万元。</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本部门组织所属单位共对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0</w:t>
      </w:r>
      <w:r>
        <w:rPr>
          <w:rFonts w:ascii="仿宋" w:eastAsia="仿宋" w:hAnsi="仿宋" w:cs="仿宋"/>
        </w:rPr>
        <w:t>个项目开展了绩效自评价，涉及财政性资金合计</w:t>
      </w:r>
      <w:r>
        <w:rPr>
          <w:rFonts w:ascii="仿宋" w:eastAsia="仿宋" w:hAnsi="仿宋" w:cs="仿宋"/>
        </w:rPr>
        <w:t>0</w:t>
      </w:r>
      <w:r>
        <w:rPr>
          <w:rFonts w:ascii="仿宋" w:eastAsia="仿宋" w:hAnsi="仿宋" w:cs="仿宋"/>
        </w:rPr>
        <w:t>万元；本部门组织所属单位共开展</w:t>
      </w:r>
      <w:r>
        <w:rPr>
          <w:rFonts w:ascii="仿宋" w:eastAsia="仿宋" w:hAnsi="仿宋" w:cs="仿宋"/>
        </w:rPr>
        <w:t>0</w:t>
      </w:r>
      <w:r>
        <w:rPr>
          <w:rFonts w:ascii="仿宋" w:eastAsia="仿宋" w:hAnsi="仿宋" w:cs="仿宋"/>
        </w:rPr>
        <w:t>项单位整体支出绩效自评价，涉及财政性资金合计</w:t>
      </w:r>
      <w:r>
        <w:rPr>
          <w:rFonts w:ascii="仿宋" w:eastAsia="仿宋" w:hAnsi="仿宋" w:cs="仿宋"/>
        </w:rPr>
        <w:t>0</w:t>
      </w:r>
      <w:r>
        <w:rPr>
          <w:rFonts w:ascii="仿宋" w:eastAsia="仿宋" w:hAnsi="仿宋" w:cs="仿宋"/>
        </w:rPr>
        <w:t>万元。</w:t>
      </w:r>
    </w:p>
    <w:p w:rsidR="006E012F" w:rsidRDefault="00952D1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w:t>
      </w:r>
      <w:r>
        <w:rPr>
          <w:rFonts w:ascii="仿宋" w:eastAsia="仿宋" w:hAnsi="仿宋" w:cs="仿宋"/>
        </w:rPr>
        <w:t>6</w:t>
      </w:r>
      <w:r>
        <w:rPr>
          <w:rFonts w:ascii="仿宋" w:eastAsia="仿宋" w:hAnsi="仿宋" w:cs="仿宋"/>
        </w:rPr>
        <w:t>个项目开展了部门评价，涉及财政性资金合计</w:t>
      </w:r>
      <w:r>
        <w:rPr>
          <w:rFonts w:ascii="仿宋" w:eastAsia="仿宋" w:hAnsi="仿宋" w:cs="仿宋"/>
        </w:rPr>
        <w:t>3,887.81</w:t>
      </w:r>
      <w:r>
        <w:rPr>
          <w:rFonts w:ascii="仿宋" w:eastAsia="仿宋" w:hAnsi="仿宋" w:cs="仿宋"/>
        </w:rPr>
        <w:t>万元；本部门开展</w:t>
      </w:r>
      <w:r>
        <w:rPr>
          <w:rFonts w:ascii="仿宋" w:eastAsia="仿宋" w:hAnsi="仿宋" w:cs="仿宋"/>
        </w:rPr>
        <w:t>1</w:t>
      </w:r>
      <w:r>
        <w:rPr>
          <w:rFonts w:ascii="仿宋" w:eastAsia="仿宋" w:hAnsi="仿宋" w:cs="仿宋"/>
        </w:rPr>
        <w:t>个部门整体支出部门评价，涉及财政性资金</w:t>
      </w:r>
      <w:r>
        <w:rPr>
          <w:rFonts w:ascii="仿宋" w:eastAsia="仿宋" w:hAnsi="仿宋" w:cs="仿宋"/>
        </w:rPr>
        <w:t>4,107.68</w:t>
      </w:r>
      <w:r>
        <w:rPr>
          <w:rFonts w:ascii="仿宋" w:eastAsia="仿宋" w:hAnsi="仿宋" w:cs="仿宋"/>
        </w:rPr>
        <w:t>万元。</w:t>
      </w:r>
    </w:p>
    <w:p w:rsidR="006E012F" w:rsidRDefault="00952D1E">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指事业单位按照预算管理要求使用非财政拨款结余（原事业基金）弥补当年收支差额的数额。</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w:t>
      </w:r>
      <w:r>
        <w:rPr>
          <w:rFonts w:ascii="仿宋" w:eastAsia="仿宋" w:hAnsi="仿宋" w:cs="仿宋" w:hint="eastAsia"/>
          <w:b/>
          <w:bCs/>
        </w:rPr>
        <w:t>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w:t>
      </w:r>
      <w:r>
        <w:rPr>
          <w:rFonts w:ascii="仿宋" w:eastAsia="仿宋" w:hAnsi="仿宋" w:cs="仿宋" w:hint="eastAsia"/>
          <w:b/>
          <w:bCs/>
        </w:rPr>
        <w:t>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退役军人管理事务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其他退役军人事务管理支出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反映除上述项目以外其他用于退役军人事务管理方面的支出。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lastRenderedPageBreak/>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w:t>
      </w:r>
      <w:r>
        <w:rPr>
          <w:rFonts w:ascii="仿宋" w:eastAsia="仿宋" w:hAnsi="仿宋" w:cs="仿宋" w:hint="eastAsia"/>
        </w:rPr>
        <w:t>他用于社会保障和就业方面的支出。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医疗救助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城乡医疗救助</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反映财政用于城乡困难群众医疗救助的支出。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医疗救助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其他医疗救助支出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反映除上述项目以外的其他用于医疗救助方面的支出。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优抚对象医疗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优抚对象医疗补助</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反映按规定补助优抚对象的医疗经费。</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优抚对象医疗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其他优抚对象医疗支出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反映除优抚对象医疗补助以外的其他优抚对象医疗支出。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医疗保障</w:t>
      </w:r>
      <w:r>
        <w:rPr>
          <w:rFonts w:ascii="仿宋" w:eastAsia="仿宋" w:hAnsi="仿宋" w:cs="仿宋" w:hint="eastAsia"/>
          <w:b/>
          <w:bCs/>
        </w:rPr>
        <w:t>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医疗保障管理事务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信息化建设</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反映医疗保障部门用于信息化建设、开发、运行维护和数据分析等方面支出。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医疗保障管理事务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医疗保障政策管理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反映医疗保障待遇管理、医药服务管理、医药价格和招标采购管理、医疗保障基金监管等支出。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医疗保障管理事务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其他医</w:t>
      </w:r>
      <w:r>
        <w:rPr>
          <w:rFonts w:ascii="仿宋" w:eastAsia="仿宋" w:hAnsi="仿宋" w:cs="仿宋" w:hint="eastAsia"/>
          <w:b/>
          <w:bCs/>
        </w:rPr>
        <w:lastRenderedPageBreak/>
        <w:t>疗保障管理事务支出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反映除上述项目以外的其他用于医疗保障管理事务方面的支出。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其他卫生健康支出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其他卫生健康支出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反映除上述项目以外其他用于卫生健康方面的支出。</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952D1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rsidSect="00AD19BE">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D1E" w:rsidRDefault="00952D1E">
      <w:r>
        <w:separator/>
      </w:r>
    </w:p>
  </w:endnote>
  <w:endnote w:type="continuationSeparator" w:id="1">
    <w:p w:rsidR="00952D1E" w:rsidRDefault="00952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FA" w:rsidRDefault="009839FA">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- 20 -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- 23 -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- 24 -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- 27 -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- 28 -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- 30 -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- 48 -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FA" w:rsidRDefault="009839F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FA" w:rsidRDefault="009839F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rPr>
        <w:rFonts w:ascii="黑体" w:eastAsia="黑体" w:hAnsi="黑体" w:cs="黑体"/>
      </w:rPr>
    </w:pPr>
    <w:r w:rsidRPr="00AD19BE">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 filled="f" stroked="f">
          <v:textbox style="mso-fit-shape-to-text:t" inset="0,0,0,0">
            <w:txbxContent>
              <w:p w:rsidR="006E012F" w:rsidRDefault="00AD19BE">
                <w:pPr>
                  <w:pStyle w:val="a5"/>
                  <w:rPr>
                    <w:rFonts w:ascii="黑体" w:eastAsia="黑体" w:hAnsi="黑体" w:cs="黑体"/>
                  </w:rPr>
                </w:pPr>
                <w:r>
                  <w:rPr>
                    <w:rFonts w:ascii="黑体" w:eastAsia="黑体" w:hAnsi="黑体" w:cs="黑体" w:hint="eastAsia"/>
                  </w:rPr>
                  <w:fldChar w:fldCharType="begin"/>
                </w:r>
                <w:r w:rsidR="00952D1E">
                  <w:rPr>
                    <w:rFonts w:ascii="黑体" w:eastAsia="黑体" w:hAnsi="黑体" w:cs="黑体" w:hint="eastAsia"/>
                  </w:rPr>
                  <w:instrText xml:space="preserve"> PAGE  \* MERGEFORMAT </w:instrText>
                </w:r>
                <w:r>
                  <w:rPr>
                    <w:rFonts w:ascii="黑体" w:eastAsia="黑体" w:hAnsi="黑体" w:cs="黑体" w:hint="eastAsia"/>
                  </w:rPr>
                  <w:fldChar w:fldCharType="separate"/>
                </w:r>
                <w:r w:rsidR="009839FA">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rPr>
        <w:rFonts w:ascii="黑体" w:eastAsia="黑体" w:hAnsi="黑体" w:cs="黑体"/>
      </w:rPr>
    </w:pPr>
    <w:r w:rsidRPr="00AD19BE">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 filled="f" stroked="f">
          <v:textbox style="mso-fit-shape-to-text:t" inset="0,0,0,0">
            <w:txbxContent>
              <w:p w:rsidR="006E012F" w:rsidRDefault="00AD19BE">
                <w:pPr>
                  <w:pStyle w:val="a5"/>
                  <w:rPr>
                    <w:rFonts w:ascii="黑体" w:eastAsia="黑体" w:hAnsi="黑体" w:cs="黑体"/>
                  </w:rPr>
                </w:pPr>
                <w:r>
                  <w:rPr>
                    <w:rFonts w:ascii="黑体" w:eastAsia="黑体" w:hAnsi="黑体" w:cs="黑体" w:hint="eastAsia"/>
                  </w:rPr>
                  <w:fldChar w:fldCharType="begin"/>
                </w:r>
                <w:r w:rsidR="00952D1E">
                  <w:rPr>
                    <w:rFonts w:ascii="黑体" w:eastAsia="黑体" w:hAnsi="黑体" w:cs="黑体" w:hint="eastAsia"/>
                  </w:rPr>
                  <w:instrText xml:space="preserve"> PAGE  \* MERGEFORMAT </w:instrText>
                </w:r>
                <w:r>
                  <w:rPr>
                    <w:rFonts w:ascii="黑体" w:eastAsia="黑体" w:hAnsi="黑体" w:cs="黑体" w:hint="eastAsia"/>
                  </w:rPr>
                  <w:fldChar w:fldCharType="separate"/>
                </w:r>
                <w:r w:rsidR="009839FA">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- 16 -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AD19BE">
    <w:pPr>
      <w:pStyle w:val="a5"/>
      <w:jc w:val="center"/>
    </w:pPr>
    <w:r w:rsidRPr="00AD19BE">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 filled="f" stroked="f">
          <v:textbox style="mso-fit-shape-to-text:t" inset="0,0,0,0">
            <w:txbxContent>
              <w:p w:rsidR="006E012F" w:rsidRDefault="00AD19BE">
                <w:pPr>
                  <w:pStyle w:val="a5"/>
                </w:pPr>
                <w:r>
                  <w:rPr>
                    <w:rFonts w:hint="eastAsia"/>
                  </w:rPr>
                  <w:fldChar w:fldCharType="begin"/>
                </w:r>
                <w:r w:rsidR="00952D1E">
                  <w:rPr>
                    <w:rFonts w:hint="eastAsia"/>
                  </w:rPr>
                  <w:instrText xml:space="preserve"> PAGE  \* MERGEFORMAT </w:instrText>
                </w:r>
                <w:r>
                  <w:rPr>
                    <w:rFonts w:hint="eastAsia"/>
                  </w:rPr>
                  <w:fldChar w:fldCharType="separate"/>
                </w:r>
                <w:r w:rsidR="009839FA">
                  <w:rPr>
                    <w:noProof/>
                  </w:rPr>
                  <w:t>- 18 -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D1E" w:rsidRDefault="00952D1E">
      <w:r>
        <w:separator/>
      </w:r>
    </w:p>
  </w:footnote>
  <w:footnote w:type="continuationSeparator" w:id="1">
    <w:p w:rsidR="00952D1E" w:rsidRDefault="00952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FA" w:rsidRDefault="009839F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952D1E">
    <w:pPr>
      <w:pStyle w:val="a6"/>
      <w:pBdr>
        <w:bottom w:val="single" w:sz="4" w:space="1" w:color="000000"/>
      </w:pBdr>
      <w:jc w:val="both"/>
      <w:rPr>
        <w:lang w:val="en-US"/>
      </w:rPr>
    </w:pPr>
    <w:r>
      <w:rPr>
        <w:rFonts w:hint="eastAsia"/>
        <w:lang w:val="en-US"/>
      </w:rPr>
      <w:t>南京市医疗保障局高淳分局</w:t>
    </w:r>
    <w:r>
      <w:t>2023</w:t>
    </w:r>
    <w:r>
      <w:t>年度部门决算公开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E012F">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3"/>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52D1E"/>
    <w:rsid w:val="009839FA"/>
    <w:rsid w:val="009965EA"/>
    <w:rsid w:val="00A6752E"/>
    <w:rsid w:val="00AD19B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D19BE"/>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AD19BE"/>
    <w:pPr>
      <w:ind w:left="-40"/>
      <w:outlineLvl w:val="0"/>
    </w:pPr>
    <w:rPr>
      <w:sz w:val="52"/>
      <w:szCs w:val="52"/>
    </w:rPr>
  </w:style>
  <w:style w:type="paragraph" w:styleId="2">
    <w:name w:val="heading 2"/>
    <w:basedOn w:val="a"/>
    <w:next w:val="a"/>
    <w:uiPriority w:val="1"/>
    <w:qFormat/>
    <w:rsid w:val="00AD19BE"/>
    <w:pPr>
      <w:ind w:right="18"/>
      <w:jc w:val="center"/>
      <w:outlineLvl w:val="1"/>
    </w:pPr>
    <w:rPr>
      <w:sz w:val="44"/>
      <w:szCs w:val="44"/>
    </w:rPr>
  </w:style>
  <w:style w:type="paragraph" w:styleId="3">
    <w:name w:val="heading 3"/>
    <w:basedOn w:val="a"/>
    <w:next w:val="a"/>
    <w:uiPriority w:val="1"/>
    <w:qFormat/>
    <w:rsid w:val="00AD19BE"/>
    <w:pPr>
      <w:ind w:left="1"/>
      <w:jc w:val="center"/>
      <w:outlineLvl w:val="2"/>
    </w:pPr>
    <w:rPr>
      <w:sz w:val="40"/>
      <w:szCs w:val="40"/>
    </w:rPr>
  </w:style>
  <w:style w:type="paragraph" w:styleId="4">
    <w:name w:val="heading 4"/>
    <w:basedOn w:val="a"/>
    <w:next w:val="a"/>
    <w:uiPriority w:val="1"/>
    <w:qFormat/>
    <w:rsid w:val="00AD19BE"/>
    <w:pPr>
      <w:jc w:val="center"/>
      <w:outlineLvl w:val="3"/>
    </w:pPr>
    <w:rPr>
      <w:sz w:val="36"/>
      <w:szCs w:val="36"/>
    </w:rPr>
  </w:style>
  <w:style w:type="paragraph" w:styleId="5">
    <w:name w:val="heading 5"/>
    <w:basedOn w:val="a"/>
    <w:next w:val="a"/>
    <w:uiPriority w:val="1"/>
    <w:qFormat/>
    <w:rsid w:val="00AD19BE"/>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D19BE"/>
    <w:pPr>
      <w:suppressLineNumbers/>
      <w:spacing w:before="120" w:after="120"/>
    </w:pPr>
    <w:rPr>
      <w:i/>
      <w:iCs/>
      <w:sz w:val="24"/>
      <w:szCs w:val="24"/>
    </w:rPr>
  </w:style>
  <w:style w:type="paragraph" w:styleId="a4">
    <w:name w:val="Body Text"/>
    <w:basedOn w:val="a"/>
    <w:uiPriority w:val="1"/>
    <w:qFormat/>
    <w:rsid w:val="00AD19BE"/>
    <w:rPr>
      <w:sz w:val="32"/>
      <w:szCs w:val="32"/>
    </w:rPr>
  </w:style>
  <w:style w:type="paragraph" w:styleId="a5">
    <w:name w:val="footer"/>
    <w:basedOn w:val="a"/>
    <w:qFormat/>
    <w:rsid w:val="00AD19BE"/>
    <w:pPr>
      <w:tabs>
        <w:tab w:val="center" w:pos="4153"/>
        <w:tab w:val="right" w:pos="8306"/>
      </w:tabs>
      <w:snapToGrid w:val="0"/>
    </w:pPr>
    <w:rPr>
      <w:sz w:val="18"/>
      <w:szCs w:val="18"/>
    </w:rPr>
  </w:style>
  <w:style w:type="paragraph" w:styleId="a6">
    <w:name w:val="header"/>
    <w:basedOn w:val="a"/>
    <w:qFormat/>
    <w:rsid w:val="00AD19BE"/>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AD19BE"/>
  </w:style>
  <w:style w:type="table" w:styleId="a8">
    <w:name w:val="Table Grid"/>
    <w:basedOn w:val="a1"/>
    <w:qFormat/>
    <w:rsid w:val="00AD19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AD19BE"/>
  </w:style>
  <w:style w:type="character" w:customStyle="1" w:styleId="aa">
    <w:name w:val="页眉 字符"/>
    <w:basedOn w:val="a0"/>
    <w:qFormat/>
    <w:rsid w:val="00AD19BE"/>
    <w:rPr>
      <w:rFonts w:ascii="Arial Unicode MS" w:eastAsia="Arial Unicode MS" w:hAnsi="Arial Unicode MS" w:cs="Arial Unicode MS"/>
      <w:sz w:val="18"/>
      <w:szCs w:val="18"/>
      <w:lang w:val="zh-CN" w:bidi="zh-CN"/>
    </w:rPr>
  </w:style>
  <w:style w:type="character" w:customStyle="1" w:styleId="ab">
    <w:name w:val="页脚 字符"/>
    <w:basedOn w:val="a0"/>
    <w:qFormat/>
    <w:rsid w:val="00AD19BE"/>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AD19BE"/>
    <w:pPr>
      <w:keepNext/>
      <w:spacing w:before="240" w:after="120"/>
    </w:pPr>
    <w:rPr>
      <w:rFonts w:ascii="Liberation Sans" w:hAnsi="Liberation Sans"/>
      <w:sz w:val="28"/>
      <w:szCs w:val="28"/>
    </w:rPr>
  </w:style>
  <w:style w:type="paragraph" w:customStyle="1" w:styleId="ad">
    <w:name w:val="索引"/>
    <w:basedOn w:val="a"/>
    <w:qFormat/>
    <w:rsid w:val="00AD19BE"/>
    <w:pPr>
      <w:suppressLineNumbers/>
    </w:pPr>
  </w:style>
  <w:style w:type="paragraph" w:customStyle="1" w:styleId="ae">
    <w:name w:val="页眉与页脚"/>
    <w:basedOn w:val="a"/>
    <w:qFormat/>
    <w:rsid w:val="00AD19BE"/>
  </w:style>
  <w:style w:type="paragraph" w:customStyle="1" w:styleId="10">
    <w:name w:val="列表段落1"/>
    <w:basedOn w:val="a"/>
    <w:uiPriority w:val="1"/>
    <w:qFormat/>
    <w:rsid w:val="00AD19BE"/>
    <w:pPr>
      <w:ind w:left="2039" w:hanging="782"/>
    </w:pPr>
  </w:style>
  <w:style w:type="paragraph" w:customStyle="1" w:styleId="TableParagraph">
    <w:name w:val="Table Paragraph"/>
    <w:basedOn w:val="a"/>
    <w:uiPriority w:val="1"/>
    <w:qFormat/>
    <w:rsid w:val="00AD19BE"/>
    <w:rPr>
      <w:rFonts w:ascii="宋体" w:eastAsia="宋体" w:hAnsi="宋体" w:cs="宋体"/>
    </w:rPr>
  </w:style>
  <w:style w:type="paragraph" w:customStyle="1" w:styleId="af">
    <w:name w:val="表格内容"/>
    <w:basedOn w:val="a"/>
    <w:qFormat/>
    <w:rsid w:val="00AD19BE"/>
    <w:pPr>
      <w:suppressLineNumbers/>
    </w:pPr>
  </w:style>
  <w:style w:type="paragraph" w:customStyle="1" w:styleId="af0">
    <w:name w:val="表格标题"/>
    <w:basedOn w:val="af"/>
    <w:qFormat/>
    <w:rsid w:val="00AD19BE"/>
    <w:pPr>
      <w:jc w:val="center"/>
    </w:pPr>
    <w:rPr>
      <w:b/>
      <w:bCs/>
    </w:rPr>
  </w:style>
  <w:style w:type="paragraph" w:customStyle="1" w:styleId="af1">
    <w:name w:val="预格式化的文本"/>
    <w:basedOn w:val="a"/>
    <w:qFormat/>
    <w:rsid w:val="00AD19BE"/>
    <w:rPr>
      <w:rFonts w:ascii="Liberation Mono" w:eastAsia="新宋体" w:hAnsi="Liberation Mono" w:cs="Liberation Mono"/>
      <w:sz w:val="20"/>
      <w:szCs w:val="20"/>
    </w:rPr>
  </w:style>
  <w:style w:type="table" w:customStyle="1" w:styleId="TableNormal">
    <w:name w:val="Table Normal"/>
    <w:uiPriority w:val="2"/>
    <w:unhideWhenUsed/>
    <w:qFormat/>
    <w:rsid w:val="00AD19BE"/>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3704</Words>
  <Characters>21118</Characters>
  <Application>Microsoft Office Word</Application>
  <DocSecurity>0</DocSecurity>
  <Lines>175</Lines>
  <Paragraphs>49</Paragraphs>
  <ScaleCrop>false</ScaleCrop>
  <Company/>
  <LinksUpToDate>false</LinksUpToDate>
  <CharactersWithSpaces>24773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China</cp:lastModifiedBy>
  <cp:revision>178</cp:revision>
  <dcterms:created xsi:type="dcterms:W3CDTF">2021-04-16T03:22:00Z</dcterms:created>
  <dcterms:modified xsi:type="dcterms:W3CDTF">2025-01-20T03:31:00Z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