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71E04">
      <w:pPr>
        <w:pStyle w:val="2"/>
        <w:spacing w:line="477" w:lineRule="auto"/>
      </w:pPr>
    </w:p>
    <w:p w14:paraId="5AEC85AE">
      <w:pPr>
        <w:spacing w:before="143" w:line="219" w:lineRule="auto"/>
        <w:ind w:left="916"/>
        <w:rPr>
          <w:rFonts w:ascii="宋体" w:hAnsi="宋体" w:eastAsia="宋体" w:cs="宋体"/>
          <w:sz w:val="44"/>
          <w:szCs w:val="44"/>
        </w:rPr>
      </w:pPr>
      <w:bookmarkStart w:id="0" w:name="OLE_LINK3"/>
      <w:r>
        <w:rPr>
          <w:rFonts w:hint="eastAsia" w:ascii="宋体" w:hAnsi="宋体" w:eastAsia="宋体" w:cs="宋体"/>
          <w:b/>
          <w:bCs/>
          <w:spacing w:val="-6"/>
          <w:sz w:val="44"/>
          <w:szCs w:val="44"/>
          <w:lang w:val="en-US" w:eastAsia="zh-CN"/>
        </w:rPr>
        <w:t>2024年农业全产业链建设</w:t>
      </w:r>
      <w:r>
        <w:rPr>
          <w:rFonts w:ascii="宋体" w:hAnsi="宋体" w:eastAsia="宋体" w:cs="宋体"/>
          <w:b/>
          <w:bCs/>
          <w:spacing w:val="-6"/>
          <w:sz w:val="44"/>
          <w:szCs w:val="44"/>
        </w:rPr>
        <w:t>项目申报指南</w:t>
      </w:r>
      <w:bookmarkEnd w:id="0"/>
    </w:p>
    <w:p w14:paraId="2CB17503">
      <w:pPr>
        <w:pStyle w:val="2"/>
        <w:spacing w:line="279" w:lineRule="auto"/>
      </w:pPr>
    </w:p>
    <w:p w14:paraId="29C99639">
      <w:pPr>
        <w:pStyle w:val="2"/>
        <w:spacing w:line="279" w:lineRule="auto"/>
      </w:pPr>
    </w:p>
    <w:p w14:paraId="50D774FE">
      <w:pPr>
        <w:widowControl w:val="0"/>
        <w:tabs>
          <w:tab w:val="left" w:pos="7513"/>
          <w:tab w:val="left" w:pos="7655"/>
        </w:tabs>
        <w:kinsoku/>
        <w:autoSpaceDE/>
        <w:autoSpaceDN/>
        <w:adjustRightInd/>
        <w:snapToGrid/>
        <w:spacing w:line="360" w:lineRule="auto"/>
        <w:ind w:firstLine="640" w:firstLineChars="200"/>
        <w:jc w:val="both"/>
        <w:textAlignment w:val="auto"/>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根据江苏省农业农村厅</w:t>
      </w:r>
      <w:bookmarkStart w:id="1" w:name="OLE_LINK5"/>
      <w:r>
        <w:rPr>
          <w:rFonts w:hint="eastAsia" w:ascii="仿宋" w:hAnsi="仿宋" w:eastAsia="仿宋" w:cs="仿宋"/>
          <w:snapToGrid/>
          <w:color w:val="auto"/>
          <w:kern w:val="2"/>
          <w:sz w:val="32"/>
          <w:szCs w:val="32"/>
          <w:lang w:val="en-US" w:eastAsia="zh-CN"/>
        </w:rPr>
        <w:t>《</w:t>
      </w:r>
      <w:bookmarkStart w:id="2" w:name="OLE_LINK1"/>
      <w:r>
        <w:rPr>
          <w:rFonts w:hint="eastAsia" w:ascii="仿宋" w:hAnsi="仿宋" w:eastAsia="仿宋" w:cs="仿宋"/>
          <w:snapToGrid/>
          <w:color w:val="auto"/>
          <w:kern w:val="2"/>
          <w:sz w:val="32"/>
          <w:szCs w:val="32"/>
          <w:lang w:val="en-US" w:eastAsia="zh-CN"/>
        </w:rPr>
        <w:t>关于印发2024年省级现代农业发展专项农业全产业链建设支持政策实施意见的通知</w:t>
      </w:r>
      <w:bookmarkEnd w:id="2"/>
      <w:r>
        <w:rPr>
          <w:rFonts w:hint="eastAsia" w:ascii="仿宋" w:hAnsi="仿宋" w:eastAsia="仿宋" w:cs="仿宋"/>
          <w:snapToGrid/>
          <w:color w:val="auto"/>
          <w:kern w:val="2"/>
          <w:sz w:val="32"/>
          <w:szCs w:val="32"/>
          <w:lang w:val="en-US" w:eastAsia="zh-CN"/>
        </w:rPr>
        <w:t>》</w:t>
      </w:r>
      <w:bookmarkEnd w:id="1"/>
      <w:r>
        <w:rPr>
          <w:rFonts w:hint="eastAsia" w:ascii="仿宋" w:hAnsi="仿宋" w:eastAsia="仿宋" w:cs="仿宋"/>
          <w:snapToGrid/>
          <w:color w:val="auto"/>
          <w:kern w:val="2"/>
          <w:sz w:val="32"/>
          <w:szCs w:val="32"/>
          <w:lang w:val="en-US" w:eastAsia="zh-CN"/>
        </w:rPr>
        <w:t>等文件精神，以加快推进农业全链条升级为目标，以强链补链延链为方向，以全面增强农业的市场竞争力和可持续发展能力为牵引，以培育优势农业产业链为重点，更大力度推动农业全产业链建设，结合高淳实际，制定本申报指南。</w:t>
      </w:r>
    </w:p>
    <w:p w14:paraId="5E67CB4B">
      <w:pPr>
        <w:spacing w:before="29" w:line="360" w:lineRule="auto"/>
        <w:outlineLvl w:val="2"/>
        <w:rPr>
          <w:rFonts w:ascii="黑体" w:hAnsi="黑体" w:eastAsia="黑体" w:cs="黑体"/>
          <w:color w:val="auto"/>
          <w:sz w:val="31"/>
          <w:szCs w:val="31"/>
        </w:rPr>
      </w:pPr>
      <w:r>
        <w:rPr>
          <w:rFonts w:hint="eastAsia" w:ascii="黑体" w:hAnsi="黑体" w:eastAsia="黑体" w:cs="黑体"/>
          <w:b/>
          <w:bCs/>
          <w:color w:val="auto"/>
          <w:spacing w:val="-1"/>
          <w:sz w:val="31"/>
          <w:szCs w:val="31"/>
          <w:lang w:val="en-US" w:eastAsia="zh-CN"/>
        </w:rPr>
        <w:t>　　一</w:t>
      </w:r>
      <w:r>
        <w:rPr>
          <w:rFonts w:ascii="黑体" w:hAnsi="黑体" w:eastAsia="黑体" w:cs="黑体"/>
          <w:b/>
          <w:bCs/>
          <w:color w:val="auto"/>
          <w:spacing w:val="-1"/>
          <w:sz w:val="31"/>
          <w:szCs w:val="31"/>
        </w:rPr>
        <w:t>、实施内容</w:t>
      </w:r>
    </w:p>
    <w:p w14:paraId="6D2C67CA">
      <w:pPr>
        <w:widowControl w:val="0"/>
        <w:tabs>
          <w:tab w:val="left" w:pos="7513"/>
          <w:tab w:val="left" w:pos="7655"/>
        </w:tabs>
        <w:kinsoku/>
        <w:autoSpaceDE/>
        <w:autoSpaceDN/>
        <w:adjustRightInd/>
        <w:snapToGrid/>
        <w:spacing w:line="360" w:lineRule="auto"/>
        <w:ind w:firstLine="640" w:firstLineChars="200"/>
        <w:jc w:val="both"/>
        <w:textAlignment w:val="auto"/>
        <w:rPr>
          <w:rFonts w:hint="eastAsia" w:ascii="仿宋" w:hAnsi="仿宋" w:eastAsia="仿宋" w:cs="仿宋"/>
          <w:snapToGrid/>
          <w:color w:val="auto"/>
          <w:kern w:val="2"/>
          <w:sz w:val="32"/>
          <w:szCs w:val="32"/>
          <w:lang w:val="en-US" w:eastAsia="zh-CN"/>
        </w:rPr>
      </w:pPr>
      <w:bookmarkStart w:id="3" w:name="OLE_LINK2"/>
      <w:r>
        <w:rPr>
          <w:rFonts w:hint="eastAsia" w:ascii="仿宋" w:hAnsi="仿宋" w:eastAsia="仿宋" w:cs="仿宋"/>
          <w:snapToGrid/>
          <w:color w:val="auto"/>
          <w:kern w:val="2"/>
          <w:sz w:val="32"/>
          <w:szCs w:val="32"/>
          <w:lang w:val="en-US" w:eastAsia="zh-CN"/>
        </w:rPr>
        <w:t>（一）重点产业链建设。从稻米、小麦、油菜、生猪、肉鸡、奶业、淡水鱼、河蟹、小龙虾、果品、食用菌、水生蔬菜等省重点产业中，根据地方实际和产业链发展需求，自行确定1-2条产业链支持建设。</w:t>
      </w:r>
    </w:p>
    <w:p w14:paraId="45FB3690">
      <w:pPr>
        <w:widowControl w:val="0"/>
        <w:tabs>
          <w:tab w:val="left" w:pos="7513"/>
          <w:tab w:val="left" w:pos="7655"/>
        </w:tabs>
        <w:kinsoku/>
        <w:autoSpaceDE/>
        <w:autoSpaceDN/>
        <w:adjustRightInd/>
        <w:snapToGrid/>
        <w:spacing w:line="360" w:lineRule="auto"/>
        <w:ind w:firstLine="640" w:firstLineChars="200"/>
        <w:jc w:val="both"/>
        <w:textAlignment w:val="auto"/>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（二）农产品加工业发展。支持农产品加工企业发展。</w:t>
      </w:r>
    </w:p>
    <w:p w14:paraId="4918B7AA">
      <w:pPr>
        <w:widowControl w:val="0"/>
        <w:tabs>
          <w:tab w:val="left" w:pos="7513"/>
          <w:tab w:val="left" w:pos="7655"/>
        </w:tabs>
        <w:kinsoku/>
        <w:autoSpaceDE/>
        <w:autoSpaceDN/>
        <w:adjustRightInd/>
        <w:snapToGrid/>
        <w:spacing w:line="360" w:lineRule="auto"/>
        <w:ind w:firstLine="640" w:firstLineChars="200"/>
        <w:jc w:val="both"/>
        <w:textAlignment w:val="auto"/>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（三）农业龙头企业培育。支持培育农业产业化重点龙头企业做大做强、提升“双带”能力。</w:t>
      </w:r>
    </w:p>
    <w:bookmarkEnd w:id="3"/>
    <w:p w14:paraId="482BB680">
      <w:pPr>
        <w:spacing w:before="29" w:line="360" w:lineRule="auto"/>
        <w:ind w:left="614"/>
        <w:outlineLvl w:val="2"/>
        <w:rPr>
          <w:rFonts w:ascii="黑体" w:hAnsi="黑体" w:eastAsia="黑体" w:cs="黑体"/>
          <w:b/>
          <w:bCs/>
          <w:color w:val="auto"/>
          <w:spacing w:val="-1"/>
          <w:sz w:val="31"/>
          <w:szCs w:val="31"/>
        </w:rPr>
      </w:pPr>
      <w:r>
        <w:rPr>
          <w:rFonts w:hint="eastAsia" w:ascii="黑体" w:hAnsi="黑体" w:eastAsia="黑体" w:cs="黑体"/>
          <w:b/>
          <w:bCs/>
          <w:color w:val="auto"/>
          <w:spacing w:val="-1"/>
          <w:sz w:val="31"/>
          <w:szCs w:val="31"/>
        </w:rPr>
        <w:t>二、扶持对象</w:t>
      </w:r>
    </w:p>
    <w:p w14:paraId="19557928">
      <w:pPr>
        <w:widowControl w:val="0"/>
        <w:tabs>
          <w:tab w:val="left" w:pos="7513"/>
          <w:tab w:val="left" w:pos="7655"/>
        </w:tabs>
        <w:kinsoku/>
        <w:autoSpaceDE/>
        <w:autoSpaceDN/>
        <w:adjustRightInd/>
        <w:snapToGrid/>
        <w:spacing w:line="360" w:lineRule="auto"/>
        <w:ind w:firstLine="640" w:firstLineChars="200"/>
        <w:jc w:val="both"/>
        <w:textAlignment w:val="auto"/>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（一）重点产业链建设。重点支持利益联结紧密、带动范围广、能力强的农业高质量发展“四个一”建设工程的“链主”企业和骨干企业、预制菜加工企业、牵头组建农业产业化联合体的农业产业化龙头企业。</w:t>
      </w:r>
    </w:p>
    <w:p w14:paraId="3A1FB28F">
      <w:pPr>
        <w:widowControl w:val="0"/>
        <w:tabs>
          <w:tab w:val="left" w:pos="7513"/>
          <w:tab w:val="left" w:pos="7655"/>
        </w:tabs>
        <w:kinsoku/>
        <w:autoSpaceDE/>
        <w:autoSpaceDN/>
        <w:adjustRightInd/>
        <w:snapToGrid/>
        <w:spacing w:line="360" w:lineRule="auto"/>
        <w:ind w:firstLine="640" w:firstLineChars="200"/>
        <w:jc w:val="both"/>
        <w:textAlignment w:val="auto"/>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（二）农产品加工业发展。重点支持从事农产品产地初加工、精深加工、综合利用加工等的农产品加工企业。</w:t>
      </w:r>
    </w:p>
    <w:p w14:paraId="58198B03">
      <w:pPr>
        <w:widowControl w:val="0"/>
        <w:tabs>
          <w:tab w:val="left" w:pos="7513"/>
          <w:tab w:val="left" w:pos="7655"/>
        </w:tabs>
        <w:kinsoku/>
        <w:autoSpaceDE/>
        <w:autoSpaceDN/>
        <w:adjustRightInd/>
        <w:snapToGrid/>
        <w:spacing w:line="360" w:lineRule="auto"/>
        <w:ind w:firstLine="640" w:firstLineChars="200"/>
        <w:jc w:val="both"/>
        <w:textAlignment w:val="auto"/>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（三）农业龙头企业培育。经农业农村部门认定的县级（含）以上农业龙头企业。</w:t>
      </w:r>
    </w:p>
    <w:p w14:paraId="0EB79E13">
      <w:pPr>
        <w:spacing w:before="29" w:line="360" w:lineRule="auto"/>
        <w:ind w:left="614"/>
        <w:outlineLvl w:val="2"/>
        <w:rPr>
          <w:rFonts w:hint="eastAsia" w:ascii="黑体" w:hAnsi="黑体" w:eastAsia="黑体" w:cs="黑体"/>
          <w:b/>
          <w:bCs/>
          <w:color w:val="auto"/>
          <w:spacing w:val="-1"/>
          <w:sz w:val="31"/>
          <w:szCs w:val="31"/>
        </w:rPr>
      </w:pPr>
      <w:r>
        <w:rPr>
          <w:rFonts w:hint="eastAsia" w:ascii="黑体" w:hAnsi="黑体" w:eastAsia="黑体" w:cs="黑体"/>
          <w:b/>
          <w:bCs/>
          <w:color w:val="auto"/>
          <w:spacing w:val="-1"/>
          <w:sz w:val="31"/>
          <w:szCs w:val="31"/>
        </w:rPr>
        <w:t>三、支持环节</w:t>
      </w:r>
    </w:p>
    <w:p w14:paraId="0E2B7257">
      <w:pPr>
        <w:widowControl w:val="0"/>
        <w:tabs>
          <w:tab w:val="left" w:pos="7513"/>
          <w:tab w:val="left" w:pos="7655"/>
        </w:tabs>
        <w:kinsoku/>
        <w:autoSpaceDE/>
        <w:autoSpaceDN/>
        <w:adjustRightInd/>
        <w:snapToGrid/>
        <w:spacing w:line="360" w:lineRule="auto"/>
        <w:ind w:firstLine="640" w:firstLineChars="200"/>
        <w:jc w:val="both"/>
        <w:textAlignment w:val="auto"/>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一）重点产业链建设。重点产业链建设以产业为单位、以链条为脉络，原则上支持全产业链条上各环节，重点支持农产品初加工、精深加工、综合利用加工等环节及农产品加工“智改数转网联”、预制菜产业培育、联农带农模式探索与构建等方面，用于重点环节的省级财政资金比例不低于80%。单体项目省级财政不超过40万。</w:t>
      </w:r>
    </w:p>
    <w:p w14:paraId="6DE061E9">
      <w:pPr>
        <w:widowControl w:val="0"/>
        <w:tabs>
          <w:tab w:val="left" w:pos="7513"/>
          <w:tab w:val="left" w:pos="7655"/>
        </w:tabs>
        <w:kinsoku/>
        <w:autoSpaceDE/>
        <w:autoSpaceDN/>
        <w:adjustRightInd/>
        <w:snapToGrid/>
        <w:spacing w:line="360" w:lineRule="auto"/>
        <w:ind w:firstLine="640" w:firstLineChars="200"/>
        <w:jc w:val="both"/>
        <w:textAlignment w:val="auto"/>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（二）农产品加工业发展。支持开展农产品产地初加工，建设或改善清洗分拣、烘干储藏、冷藏保鲜、杀菌消毒、分级分割、产品包装等初</w:t>
      </w:r>
      <w:bookmarkStart w:id="4" w:name="OLE_LINK4"/>
      <w:r>
        <w:rPr>
          <w:rFonts w:hint="eastAsia" w:ascii="仿宋" w:hAnsi="仿宋" w:eastAsia="仿宋" w:cs="仿宋"/>
          <w:snapToGrid/>
          <w:color w:val="auto"/>
          <w:kern w:val="2"/>
          <w:sz w:val="32"/>
          <w:szCs w:val="32"/>
          <w:lang w:val="en-US" w:eastAsia="zh-CN"/>
        </w:rPr>
        <w:t>加工设施设备</w:t>
      </w:r>
      <w:bookmarkEnd w:id="4"/>
      <w:r>
        <w:rPr>
          <w:rFonts w:hint="eastAsia" w:ascii="仿宋" w:hAnsi="仿宋" w:eastAsia="仿宋" w:cs="仿宋"/>
          <w:snapToGrid/>
          <w:color w:val="auto"/>
          <w:kern w:val="2"/>
          <w:sz w:val="32"/>
          <w:szCs w:val="32"/>
          <w:lang w:val="en-US" w:eastAsia="zh-CN"/>
        </w:rPr>
        <w:t>；支持发展农产品精深加工和综合利用加工，开展精深加工关键技术、装备一体化和智能化更新改造；支持主食加工、预制菜企业、功能食品加工企业等精深加工企业开展创新研发，提升加工能力等，每个企业项目不超过40万。</w:t>
      </w:r>
    </w:p>
    <w:p w14:paraId="3FFB5396">
      <w:pPr>
        <w:widowControl w:val="0"/>
        <w:tabs>
          <w:tab w:val="left" w:pos="7513"/>
          <w:tab w:val="left" w:pos="7655"/>
        </w:tabs>
        <w:kinsoku/>
        <w:autoSpaceDE/>
        <w:autoSpaceDN/>
        <w:adjustRightInd/>
        <w:snapToGrid/>
        <w:spacing w:line="360" w:lineRule="auto"/>
        <w:ind w:firstLine="640" w:firstLineChars="200"/>
        <w:jc w:val="both"/>
        <w:textAlignment w:val="auto"/>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三）农业龙头企业培育。除支持农产品加工环节（同“农产品加工业发展”支持方向）外，还支持农业龙头企业紧密利益联结机制、标准化种养基地物联网水平提升、新产品科技研发投入等内容。每个项目不超过40万。</w:t>
      </w:r>
    </w:p>
    <w:p w14:paraId="1A46D518">
      <w:pPr>
        <w:spacing w:before="29" w:line="360" w:lineRule="auto"/>
        <w:ind w:left="614"/>
        <w:outlineLvl w:val="2"/>
        <w:rPr>
          <w:rFonts w:hint="eastAsia" w:ascii="黑体" w:hAnsi="黑体" w:eastAsia="黑体" w:cs="黑体"/>
          <w:b/>
          <w:bCs/>
          <w:color w:val="auto"/>
          <w:spacing w:val="-1"/>
          <w:sz w:val="31"/>
          <w:szCs w:val="31"/>
        </w:rPr>
      </w:pPr>
      <w:r>
        <w:rPr>
          <w:rFonts w:hint="eastAsia" w:ascii="黑体" w:hAnsi="黑体" w:eastAsia="黑体" w:cs="黑体"/>
          <w:b/>
          <w:bCs/>
          <w:color w:val="auto"/>
          <w:spacing w:val="-1"/>
          <w:sz w:val="31"/>
          <w:szCs w:val="31"/>
        </w:rPr>
        <w:t>四、资金使用要求</w:t>
      </w:r>
    </w:p>
    <w:p w14:paraId="1B052231">
      <w:pPr>
        <w:widowControl w:val="0"/>
        <w:tabs>
          <w:tab w:val="left" w:pos="7513"/>
          <w:tab w:val="left" w:pos="7655"/>
        </w:tabs>
        <w:kinsoku/>
        <w:autoSpaceDE/>
        <w:autoSpaceDN/>
        <w:adjustRightInd/>
        <w:snapToGrid/>
        <w:spacing w:line="360" w:lineRule="auto"/>
        <w:ind w:firstLine="640" w:firstLineChars="200"/>
        <w:jc w:val="both"/>
        <w:textAlignment w:val="auto"/>
        <w:rPr>
          <w:rFonts w:ascii="Arial"/>
          <w:color w:val="auto"/>
          <w:sz w:val="21"/>
        </w:rPr>
      </w:pPr>
      <w:r>
        <w:rPr>
          <w:rFonts w:hint="eastAsia" w:ascii="仿宋" w:hAnsi="仿宋" w:eastAsia="仿宋" w:cs="仿宋"/>
          <w:snapToGrid/>
          <w:color w:val="auto"/>
          <w:kern w:val="2"/>
          <w:sz w:val="32"/>
          <w:szCs w:val="32"/>
          <w:lang w:val="en-US" w:eastAsia="zh-CN"/>
        </w:rPr>
        <w:t>财政资金支出要紧紧围绕产业发展和主体培育的重点方向，不得用于建设楼堂馆所、市政道路、农村公路等，不得用于示范园建设规划、招商规划、建设方案等第三方项目咨询服务费用，不得用于项目验收、检查、绩效管理及其他一般性支出，不得用于一次性物料支出、不得用于弥补预算支出缺口等。项目同一建设内容不得与其他财政资金重复支持（即同一项目不得重复申报、多头申报、多次申报）。鼓励各地整合地方财政资金，加大对农业全产业链支持力度；鼓励和引导更多社会资本投资乡村产业，参与农业全产业链建设。企业类主体项目，财政资金扶持比例原则上不</w:t>
      </w:r>
      <w:bookmarkStart w:id="5" w:name="_GoBack"/>
      <w:r>
        <w:rPr>
          <w:rFonts w:hint="eastAsia" w:ascii="仿宋" w:hAnsi="仿宋" w:eastAsia="仿宋" w:cs="仿宋"/>
          <w:snapToGrid/>
          <w:color w:val="auto"/>
          <w:kern w:val="2"/>
          <w:sz w:val="32"/>
          <w:szCs w:val="32"/>
          <w:lang w:val="en-US" w:eastAsia="zh-CN"/>
        </w:rPr>
        <w:t>超过</w:t>
      </w:r>
      <w:bookmarkEnd w:id="5"/>
      <w:r>
        <w:rPr>
          <w:rFonts w:hint="eastAsia" w:ascii="仿宋" w:hAnsi="仿宋" w:eastAsia="仿宋" w:cs="仿宋"/>
          <w:snapToGrid/>
          <w:color w:val="auto"/>
          <w:kern w:val="2"/>
          <w:sz w:val="32"/>
          <w:szCs w:val="32"/>
          <w:lang w:val="en-US" w:eastAsia="zh-CN"/>
        </w:rPr>
        <w:t>30%。</w:t>
      </w:r>
    </w:p>
    <w:p w14:paraId="6931B9BB">
      <w:pPr>
        <w:spacing w:before="248" w:line="360" w:lineRule="auto"/>
        <w:ind w:left="669"/>
        <w:rPr>
          <w:rFonts w:ascii="仿宋" w:hAnsi="仿宋" w:eastAsia="仿宋" w:cs="仿宋"/>
          <w:color w:val="auto"/>
          <w:sz w:val="31"/>
          <w:szCs w:val="31"/>
        </w:rPr>
      </w:pPr>
    </w:p>
    <w:sectPr>
      <w:pgSz w:w="11900" w:h="16840"/>
      <w:pgMar w:top="1431" w:right="1620" w:bottom="2026" w:left="1480" w:header="0" w:footer="16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Q3Zjg5MGM0MjFmMjNkM2M0ZDdkNTYxYWUyMDdiYmYifQ=="/>
  </w:docVars>
  <w:rsids>
    <w:rsidRoot w:val="00000000"/>
    <w:rsid w:val="06666708"/>
    <w:rsid w:val="0C1C5771"/>
    <w:rsid w:val="0C403756"/>
    <w:rsid w:val="0D217B23"/>
    <w:rsid w:val="109560BD"/>
    <w:rsid w:val="124E452A"/>
    <w:rsid w:val="17324FA7"/>
    <w:rsid w:val="1A903AFB"/>
    <w:rsid w:val="34311DD7"/>
    <w:rsid w:val="34627E5E"/>
    <w:rsid w:val="40D319DA"/>
    <w:rsid w:val="417F49EB"/>
    <w:rsid w:val="4642189D"/>
    <w:rsid w:val="472649FE"/>
    <w:rsid w:val="4E6470BD"/>
    <w:rsid w:val="56E3793E"/>
    <w:rsid w:val="5D722D04"/>
    <w:rsid w:val="604B562A"/>
    <w:rsid w:val="656C4A7E"/>
    <w:rsid w:val="67E049F9"/>
    <w:rsid w:val="7265256C"/>
    <w:rsid w:val="738F01AD"/>
    <w:rsid w:val="77792CB5"/>
    <w:rsid w:val="7A016D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1188</Words>
  <Characters>1203</Characters>
  <TotalTime>5</TotalTime>
  <ScaleCrop>false</ScaleCrop>
  <LinksUpToDate>false</LinksUpToDate>
  <CharactersWithSpaces>1205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2025-05-09T14:10:00Z</dcterms:created>
  <dc:creator>Administrator</dc:creator>
  <cp:lastModifiedBy>烟火里的尘埃</cp:lastModifiedBy>
  <dcterms:modified xsi:type="dcterms:W3CDTF">2025-07-07T00:43:34Z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2025-05-09T14:10:42Z</vt:filetime>
  </property>
  <property fmtid="{D5CDD505-2E9C-101B-9397-08002B2CF9AE}" pid="4" name="UsrData">
    <vt:lpwstr>681d9c5fdaef57002050e642wl</vt:lpwstr>
  </property>
  <property fmtid="{D5CDD505-2E9C-101B-9397-08002B2CF9AE}" pid="5" name="KSOProductBuildVer">
    <vt:lpwstr>2052-12.1.0.21541</vt:lpwstr>
  </property>
  <property fmtid="{D5CDD505-2E9C-101B-9397-08002B2CF9AE}" pid="6" name="ICV">
    <vt:lpwstr>46773DDE0448493B83EEA9F41A52C53A_13</vt:lpwstr>
  </property>
  <property fmtid="{D5CDD505-2E9C-101B-9397-08002B2CF9AE}" pid="7" name="KSOTemplateDocerSaveRecord">
    <vt:lpwstr>eyJoZGlkIjoiMWUwNzhiOWFmYzAxZWFiZjVkNTFiZDAzNjMzY2Q2YTgiLCJ1c2VySWQiOiI0MTczMDc5ODYifQ==</vt:lpwstr>
  </property>
</Properties>
</file>