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FFE22">
      <w:pPr>
        <w:spacing w:after="360" w:line="360" w:lineRule="auto"/>
        <w:jc w:val="center"/>
        <w:rPr>
          <w:rFonts w:eastAsia="方正小标宋_GBK"/>
          <w:sz w:val="32"/>
          <w:szCs w:val="32"/>
        </w:rPr>
      </w:pPr>
      <w:r>
        <w:rPr>
          <w:rFonts w:hint="eastAsia" w:eastAsia="方正小标宋_GBK"/>
          <w:sz w:val="32"/>
          <w:szCs w:val="32"/>
        </w:rPr>
        <w:t>《高淳区城北商务区薛城片区土地征收成片开发方案（征求意见稿）》主要内容</w:t>
      </w:r>
    </w:p>
    <w:p w14:paraId="0126453B">
      <w:pPr>
        <w:spacing w:line="360" w:lineRule="auto"/>
        <w:ind w:firstLine="480" w:firstLineChars="200"/>
        <w:rPr>
          <w:rFonts w:eastAsia="仿宋_GB2312"/>
          <w:sz w:val="24"/>
        </w:rPr>
      </w:pPr>
      <w:r>
        <w:rPr>
          <w:rFonts w:hint="eastAsia" w:eastAsia="仿宋_GB2312"/>
          <w:sz w:val="24"/>
        </w:rPr>
        <w:t>根据《中华人民共和国土地管理法》、《自然资源部关于印发&lt;土地征收成片开发标准&gt;的通知》（自然资规〔2023〕7号）、《江苏省自然资源厅关于开展土地征收成片开发方案编制工作的通知》（苏自然资函〔2021〕15号）、《江苏省自然资源厅关于加快推进土地征收成片开发方案编制工作的通知》（苏自然资发〔2021〕138号）、《江苏省自然资源厅关于深入推进土地征收成片开发方案编制工作的通知》（苏自然资函〔2024〕939号）等文件要求，高淳区人民政府组织编制了《高淳区2025-02号土地征收成片开发方案（征求意见稿）》。现将方案主要内容公示如下：</w:t>
      </w:r>
    </w:p>
    <w:p w14:paraId="1F4547B4">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一、编制依据</w:t>
      </w:r>
    </w:p>
    <w:p w14:paraId="3FDC86B4">
      <w:pPr>
        <w:spacing w:line="360" w:lineRule="auto"/>
        <w:ind w:firstLine="480" w:firstLineChars="200"/>
        <w:rPr>
          <w:rFonts w:eastAsia="仿宋_GB2312"/>
          <w:sz w:val="24"/>
        </w:rPr>
      </w:pPr>
      <w:r>
        <w:rPr>
          <w:rFonts w:hint="eastAsia" w:eastAsia="仿宋_GB2312"/>
          <w:sz w:val="24"/>
        </w:rPr>
        <w:t>1、《中华人民共和国土地管理法》（2019修正版）</w:t>
      </w:r>
    </w:p>
    <w:p w14:paraId="0A2877B8">
      <w:pPr>
        <w:spacing w:line="360" w:lineRule="auto"/>
        <w:ind w:firstLine="480" w:firstLineChars="200"/>
        <w:rPr>
          <w:rFonts w:eastAsia="仿宋_GB2312"/>
          <w:sz w:val="24"/>
        </w:rPr>
      </w:pPr>
      <w:r>
        <w:rPr>
          <w:rFonts w:hint="eastAsia" w:eastAsia="仿宋_GB2312"/>
          <w:sz w:val="24"/>
        </w:rPr>
        <w:t>2、《自然资源部关于印发&lt;土地征收成片开发标准&gt;的通知》（自然资规〔2023〕7号）</w:t>
      </w:r>
    </w:p>
    <w:p w14:paraId="4D857688">
      <w:pPr>
        <w:spacing w:line="360" w:lineRule="auto"/>
        <w:ind w:firstLine="480" w:firstLineChars="200"/>
        <w:rPr>
          <w:rFonts w:eastAsia="仿宋_GB2312"/>
          <w:sz w:val="24"/>
        </w:rPr>
      </w:pPr>
      <w:r>
        <w:rPr>
          <w:rFonts w:hint="eastAsia" w:eastAsia="仿宋_GB2312"/>
          <w:sz w:val="24"/>
        </w:rPr>
        <w:t>3、《江苏省自然资源厅关于开展土地征收成片开发方案编制工作的通知》（苏自然资函〔2021〕15号）</w:t>
      </w:r>
    </w:p>
    <w:p w14:paraId="14210B16">
      <w:pPr>
        <w:spacing w:line="360" w:lineRule="auto"/>
        <w:ind w:firstLine="480" w:firstLineChars="200"/>
        <w:rPr>
          <w:rFonts w:eastAsia="仿宋_GB2312"/>
          <w:sz w:val="24"/>
        </w:rPr>
      </w:pPr>
      <w:r>
        <w:rPr>
          <w:rFonts w:hint="eastAsia" w:eastAsia="仿宋_GB2312"/>
          <w:sz w:val="24"/>
        </w:rPr>
        <w:t>4、《江苏省自然资源厅关于加快推进土地征收成片开发方案编制工作的通知》（苏自然资发〔2021〕138号）</w:t>
      </w:r>
    </w:p>
    <w:p w14:paraId="52B31000">
      <w:pPr>
        <w:spacing w:line="360" w:lineRule="auto"/>
        <w:ind w:firstLine="480" w:firstLineChars="200"/>
        <w:rPr>
          <w:rFonts w:eastAsia="仿宋_GB2312"/>
          <w:sz w:val="24"/>
        </w:rPr>
      </w:pPr>
      <w:r>
        <w:rPr>
          <w:rFonts w:hint="eastAsia" w:eastAsia="仿宋_GB2312"/>
          <w:sz w:val="24"/>
        </w:rPr>
        <w:t>5、《江苏省自然资源厅关于深入推进土地征收成片开发方案编制工作的通知》（苏自然资发〔2024〕939号）</w:t>
      </w:r>
    </w:p>
    <w:p w14:paraId="3A79B501">
      <w:pPr>
        <w:spacing w:line="360" w:lineRule="auto"/>
        <w:ind w:firstLine="480" w:firstLineChars="200"/>
        <w:rPr>
          <w:rFonts w:eastAsia="仿宋_GB2312"/>
          <w:sz w:val="24"/>
        </w:rPr>
      </w:pPr>
      <w:r>
        <w:rPr>
          <w:rFonts w:hint="eastAsia" w:eastAsia="仿宋_GB2312"/>
          <w:sz w:val="24"/>
        </w:rPr>
        <w:t>6、《江苏省自然资源厅关于印发&lt;江苏省土地征收成片开发方案编制指南（试行）&gt;&lt;江苏省土地征收成片开发方案审查要点&gt;的通知》（苏自然资函〔2021〕1028号）</w:t>
      </w:r>
    </w:p>
    <w:p w14:paraId="02DD3304">
      <w:pPr>
        <w:spacing w:line="360" w:lineRule="auto"/>
        <w:ind w:firstLine="480" w:firstLineChars="200"/>
        <w:rPr>
          <w:rFonts w:eastAsia="仿宋_GB2312"/>
          <w:sz w:val="24"/>
        </w:rPr>
      </w:pPr>
      <w:r>
        <w:rPr>
          <w:rFonts w:hint="eastAsia" w:eastAsia="仿宋_GB2312"/>
          <w:sz w:val="24"/>
        </w:rPr>
        <w:t>7、《省政府关于重新公布江苏省征地区片综合地价最低标准的通知》（苏政规〔2023〕12号）</w:t>
      </w:r>
    </w:p>
    <w:p w14:paraId="7AFAD234">
      <w:pPr>
        <w:spacing w:line="360" w:lineRule="auto"/>
        <w:ind w:firstLine="480" w:firstLineChars="200"/>
        <w:rPr>
          <w:rFonts w:eastAsia="仿宋_GB2312"/>
          <w:sz w:val="24"/>
        </w:rPr>
      </w:pPr>
      <w:r>
        <w:rPr>
          <w:rFonts w:hint="eastAsia" w:eastAsia="仿宋_GB2312"/>
          <w:sz w:val="24"/>
        </w:rPr>
        <w:t>8、《市政府关于重新公布征地区片综合地价执行标准的通知》（宁政规字〔2024〕1号）</w:t>
      </w:r>
    </w:p>
    <w:p w14:paraId="035F061D">
      <w:pPr>
        <w:spacing w:line="360" w:lineRule="auto"/>
        <w:ind w:firstLine="480" w:firstLineChars="200"/>
        <w:rPr>
          <w:rFonts w:eastAsia="仿宋_GB2312"/>
          <w:sz w:val="24"/>
        </w:rPr>
      </w:pPr>
      <w:r>
        <w:rPr>
          <w:rFonts w:hint="eastAsia" w:eastAsia="仿宋_GB2312"/>
          <w:sz w:val="24"/>
        </w:rPr>
        <w:t>9、《高淳区政府关于调整高淳区征地区片综合地价执行标准的通知》（高政规〔2024〕1号）</w:t>
      </w:r>
    </w:p>
    <w:p w14:paraId="6F7A3C42">
      <w:pPr>
        <w:spacing w:line="360" w:lineRule="auto"/>
        <w:ind w:firstLine="480" w:firstLineChars="200"/>
        <w:rPr>
          <w:rFonts w:eastAsia="仿宋_GB2312"/>
          <w:sz w:val="24"/>
        </w:rPr>
      </w:pPr>
      <w:r>
        <w:rPr>
          <w:rFonts w:hint="eastAsia" w:eastAsia="仿宋_GB2312"/>
          <w:sz w:val="24"/>
        </w:rPr>
        <w:t>10、《高淳区政府关于公布高淳区青苗和附着物征地补偿标准的通知》（高政规〔2020〕4号）</w:t>
      </w:r>
    </w:p>
    <w:p w14:paraId="13C6223D">
      <w:pPr>
        <w:spacing w:line="360" w:lineRule="auto"/>
        <w:ind w:firstLine="480" w:firstLineChars="200"/>
        <w:rPr>
          <w:rFonts w:eastAsia="仿宋_GB2312"/>
          <w:sz w:val="24"/>
        </w:rPr>
      </w:pPr>
      <w:r>
        <w:rPr>
          <w:rFonts w:hint="eastAsia" w:eastAsia="仿宋_GB2312"/>
          <w:sz w:val="24"/>
        </w:rPr>
        <w:t>11、《南京市高淳区国民经济和社会发展第十四个五年规划纲要》</w:t>
      </w:r>
    </w:p>
    <w:p w14:paraId="61EC07B7">
      <w:pPr>
        <w:spacing w:line="360" w:lineRule="auto"/>
        <w:ind w:firstLine="480" w:firstLineChars="200"/>
        <w:rPr>
          <w:rFonts w:eastAsia="仿宋_GB2312"/>
          <w:sz w:val="24"/>
        </w:rPr>
      </w:pPr>
      <w:r>
        <w:rPr>
          <w:rFonts w:hint="eastAsia" w:eastAsia="仿宋_GB2312"/>
          <w:sz w:val="24"/>
        </w:rPr>
        <w:t>12、《南京市国土空间总体规划（2021-2035年）》</w:t>
      </w:r>
    </w:p>
    <w:p w14:paraId="3F6692E2">
      <w:pPr>
        <w:spacing w:line="360" w:lineRule="auto"/>
        <w:ind w:firstLine="480" w:firstLineChars="200"/>
        <w:rPr>
          <w:rFonts w:eastAsia="仿宋_GB2312"/>
          <w:sz w:val="24"/>
        </w:rPr>
      </w:pPr>
      <w:r>
        <w:rPr>
          <w:rFonts w:hint="eastAsia" w:eastAsia="仿宋_GB2312"/>
          <w:sz w:val="24"/>
        </w:rPr>
        <w:t>13、高淳区“三区三线”划定成果</w:t>
      </w:r>
    </w:p>
    <w:p w14:paraId="0108A5BA">
      <w:pPr>
        <w:spacing w:line="360" w:lineRule="auto"/>
        <w:ind w:firstLine="480" w:firstLineChars="200"/>
        <w:rPr>
          <w:rFonts w:eastAsia="仿宋_GB2312"/>
          <w:sz w:val="24"/>
        </w:rPr>
      </w:pPr>
      <w:r>
        <w:rPr>
          <w:rFonts w:hint="eastAsia" w:eastAsia="仿宋_GB2312"/>
          <w:sz w:val="24"/>
        </w:rPr>
        <w:t>14、《南京市高淳区国土空间总体规划（2021-2035年）》</w:t>
      </w:r>
    </w:p>
    <w:p w14:paraId="23FA6308">
      <w:pPr>
        <w:spacing w:line="360" w:lineRule="auto"/>
        <w:ind w:firstLine="480" w:firstLineChars="200"/>
        <w:rPr>
          <w:rFonts w:eastAsia="仿宋_GB2312"/>
          <w:sz w:val="24"/>
        </w:rPr>
      </w:pPr>
      <w:r>
        <w:rPr>
          <w:rFonts w:hint="eastAsia" w:eastAsia="仿宋_GB2312"/>
          <w:sz w:val="24"/>
        </w:rPr>
        <w:t>15、《高淳城北商务区北片区控制性详细规划》NJGCb020-01规划管理单元图则</w:t>
      </w:r>
    </w:p>
    <w:p w14:paraId="5D1DB8F3">
      <w:pPr>
        <w:spacing w:line="360" w:lineRule="auto"/>
        <w:ind w:firstLine="480" w:firstLineChars="200"/>
        <w:rPr>
          <w:rFonts w:eastAsia="仿宋_GB2312"/>
          <w:sz w:val="24"/>
        </w:rPr>
      </w:pPr>
      <w:r>
        <w:rPr>
          <w:rFonts w:hint="eastAsia" w:eastAsia="仿宋_GB2312"/>
          <w:sz w:val="24"/>
        </w:rPr>
        <w:t>16、成片开发拟建设项目的相关资料及其他资料</w:t>
      </w:r>
    </w:p>
    <w:p w14:paraId="584D1BBE">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二</w:t>
      </w:r>
      <w:r>
        <w:rPr>
          <w:rFonts w:eastAsia="方正黑体_GBK"/>
          <w:sz w:val="28"/>
          <w:szCs w:val="28"/>
        </w:rPr>
        <w:t>、片区基本情况</w:t>
      </w:r>
    </w:p>
    <w:p w14:paraId="212E1D38">
      <w:pPr>
        <w:spacing w:line="360" w:lineRule="auto"/>
        <w:ind w:firstLine="480" w:firstLineChars="200"/>
        <w:rPr>
          <w:rFonts w:eastAsia="仿宋_GB2312"/>
          <w:sz w:val="24"/>
        </w:rPr>
      </w:pPr>
      <w:r>
        <w:rPr>
          <w:rFonts w:hint="eastAsia" w:eastAsia="仿宋_GB2312"/>
          <w:sz w:val="24"/>
        </w:rPr>
        <w:t>城北商务区薛城片区位于淳溪街道</w:t>
      </w:r>
      <w:r>
        <w:rPr>
          <w:rFonts w:eastAsia="仿宋_GB2312"/>
          <w:sz w:val="24"/>
        </w:rPr>
        <w:t>，东至</w:t>
      </w:r>
      <w:r>
        <w:rPr>
          <w:rFonts w:hint="eastAsia" w:eastAsia="仿宋_GB2312"/>
          <w:sz w:val="24"/>
        </w:rPr>
        <w:t>金澜路</w:t>
      </w:r>
      <w:r>
        <w:rPr>
          <w:rFonts w:eastAsia="仿宋_GB2312"/>
          <w:sz w:val="24"/>
        </w:rPr>
        <w:t>，南至</w:t>
      </w:r>
      <w:r>
        <w:rPr>
          <w:rFonts w:hint="eastAsia" w:eastAsia="仿宋_GB2312"/>
          <w:sz w:val="24"/>
        </w:rPr>
        <w:t>淳溪路</w:t>
      </w:r>
      <w:r>
        <w:rPr>
          <w:rFonts w:eastAsia="仿宋_GB2312"/>
          <w:sz w:val="24"/>
        </w:rPr>
        <w:t>，西至</w:t>
      </w:r>
      <w:r>
        <w:rPr>
          <w:rFonts w:hint="eastAsia" w:eastAsia="仿宋_GB2312"/>
          <w:sz w:val="24"/>
        </w:rPr>
        <w:t>规划道路</w:t>
      </w:r>
      <w:r>
        <w:rPr>
          <w:rFonts w:eastAsia="仿宋_GB2312"/>
          <w:sz w:val="24"/>
        </w:rPr>
        <w:t>，北至</w:t>
      </w:r>
      <w:r>
        <w:rPr>
          <w:rFonts w:hint="eastAsia" w:eastAsia="仿宋_GB2312"/>
          <w:sz w:val="24"/>
        </w:rPr>
        <w:t>古城一路</w:t>
      </w:r>
      <w:r>
        <w:rPr>
          <w:rFonts w:eastAsia="仿宋_GB2312"/>
          <w:sz w:val="24"/>
        </w:rPr>
        <w:t>。</w:t>
      </w:r>
    </w:p>
    <w:p w14:paraId="0123B4FB">
      <w:pPr>
        <w:spacing w:line="360" w:lineRule="auto"/>
        <w:ind w:firstLine="480" w:firstLineChars="200"/>
        <w:rPr>
          <w:rFonts w:eastAsia="仿宋_GB2312"/>
          <w:sz w:val="24"/>
          <w:highlight w:val="yellow"/>
        </w:rPr>
      </w:pPr>
      <w:r>
        <w:rPr>
          <w:rFonts w:hint="eastAsia" w:eastAsia="仿宋_GB2312"/>
          <w:sz w:val="24"/>
        </w:rPr>
        <w:t>本方案涉及淳溪街道太安村、花奔村、薛城村，成片开发范围</w:t>
      </w:r>
      <w:r>
        <w:rPr>
          <w:rFonts w:eastAsia="仿宋_GB2312"/>
          <w:sz w:val="24"/>
        </w:rPr>
        <w:t>总面积</w:t>
      </w:r>
      <w:r>
        <w:rPr>
          <w:rFonts w:hint="eastAsia" w:eastAsia="仿宋_GB2312"/>
          <w:sz w:val="24"/>
        </w:rPr>
        <w:t>92.7317</w:t>
      </w:r>
      <w:r>
        <w:rPr>
          <w:rFonts w:eastAsia="仿宋_GB2312"/>
          <w:sz w:val="24"/>
        </w:rPr>
        <w:t>公顷</w:t>
      </w:r>
      <w:r>
        <w:rPr>
          <w:rFonts w:hint="eastAsia" w:eastAsia="仿宋_GB2312"/>
          <w:sz w:val="24"/>
        </w:rPr>
        <w:t>（成片开发范围以最终批复为准）。外部水、电、气、热、通讯和消防基本具备地块开发条件。</w:t>
      </w:r>
    </w:p>
    <w:p w14:paraId="51E2A72C">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三</w:t>
      </w:r>
      <w:r>
        <w:rPr>
          <w:rFonts w:eastAsia="方正黑体_GBK"/>
          <w:sz w:val="28"/>
          <w:szCs w:val="28"/>
        </w:rPr>
        <w:t>、成片开发的必要性</w:t>
      </w:r>
    </w:p>
    <w:p w14:paraId="7F342058">
      <w:pPr>
        <w:spacing w:line="360" w:lineRule="auto"/>
        <w:ind w:firstLine="480" w:firstLineChars="200"/>
        <w:rPr>
          <w:rFonts w:eastAsia="仿宋_GB2312"/>
          <w:sz w:val="24"/>
        </w:rPr>
      </w:pPr>
      <w:r>
        <w:rPr>
          <w:rFonts w:hint="eastAsia" w:eastAsia="仿宋_GB2312"/>
          <w:sz w:val="24"/>
        </w:rPr>
        <w:t>本片区实施土地征收成片开发具有必要性和紧迫性。一是产业发展需要。省级专精特新企业特丰药业面临扩大生产线和提升研发能力的用地保障需求，需通过成片开发保障项目高效落地，推动其产业延链、补链、强链。二是提升片区基础设施水平的需要。片区及周边区域污水收集系统存在短板，公共服务设施不完善，亟需通过集中开发提升片区污水等基础设施承载能力，以及区域综合服务水平。三是空间结构优化需要。通过建设青年型数智邻里社区和滨河生态景观，完善公园绿地等配套设施，可有效增强对青年人才和产业人口的吸引力，推动产城人融合发展。四是提升土地利用效率需要。成片开发有利于统筹地上地下空间开发，提高土地集约利用水平，实现生产、生活、生态空间合理布局和高效协同。综上，实施本片区成片开发是推动区域高质量发展的必要举措，对优化空间布局、带动产业升级和改善民生具有重要意义。</w:t>
      </w:r>
    </w:p>
    <w:p w14:paraId="0DC9C1B7">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四</w:t>
      </w:r>
      <w:r>
        <w:rPr>
          <w:rFonts w:eastAsia="方正黑体_GBK"/>
          <w:sz w:val="28"/>
          <w:szCs w:val="28"/>
        </w:rPr>
        <w:t>、</w:t>
      </w:r>
      <w:r>
        <w:rPr>
          <w:rFonts w:hint="eastAsia" w:eastAsia="方正黑体_GBK"/>
          <w:sz w:val="28"/>
          <w:szCs w:val="28"/>
        </w:rPr>
        <w:t>主要用途和实现的功能</w:t>
      </w:r>
    </w:p>
    <w:p w14:paraId="101932C5">
      <w:pPr>
        <w:spacing w:line="360" w:lineRule="auto"/>
        <w:ind w:firstLine="480" w:firstLineChars="200"/>
        <w:rPr>
          <w:rFonts w:eastAsia="仿宋_GB2312"/>
          <w:sz w:val="24"/>
        </w:rPr>
      </w:pPr>
      <w:r>
        <w:rPr>
          <w:rFonts w:hint="eastAsia" w:eastAsia="仿宋_GB2312"/>
          <w:sz w:val="24"/>
        </w:rPr>
        <w:t>城北商务区薛城片区土地规划用途为</w:t>
      </w:r>
      <w:bookmarkStart w:id="0" w:name="_Hlk211017238"/>
      <w:r>
        <w:rPr>
          <w:rFonts w:hint="eastAsia" w:eastAsia="仿宋_GB2312"/>
          <w:sz w:val="24"/>
        </w:rPr>
        <w:t>工业、科研、居住、商住混合、公建预留、公园绿地</w:t>
      </w:r>
      <w:bookmarkEnd w:id="0"/>
      <w:r>
        <w:rPr>
          <w:rFonts w:hint="eastAsia" w:eastAsia="仿宋_GB2312"/>
          <w:sz w:val="24"/>
        </w:rPr>
        <w:t>等用地。该片区为产城融合型片区，以居住及药品研发、生产等为主要用途。</w:t>
      </w:r>
    </w:p>
    <w:p w14:paraId="31BD6644">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五</w:t>
      </w:r>
      <w:r>
        <w:rPr>
          <w:rFonts w:eastAsia="方正黑体_GBK"/>
          <w:sz w:val="28"/>
          <w:szCs w:val="28"/>
        </w:rPr>
        <w:t>、</w:t>
      </w:r>
      <w:r>
        <w:rPr>
          <w:rFonts w:hint="eastAsia" w:eastAsia="方正黑体_GBK"/>
          <w:sz w:val="28"/>
          <w:szCs w:val="28"/>
        </w:rPr>
        <w:t>公益性用地</w:t>
      </w:r>
    </w:p>
    <w:p w14:paraId="4A09091B">
      <w:pPr>
        <w:spacing w:line="360" w:lineRule="auto"/>
        <w:ind w:firstLine="480" w:firstLineChars="200"/>
        <w:rPr>
          <w:rFonts w:eastAsia="仿宋_GB2312"/>
          <w:sz w:val="24"/>
        </w:rPr>
      </w:pPr>
      <w:r>
        <w:rPr>
          <w:rFonts w:hint="eastAsia" w:eastAsia="仿宋_GB2312"/>
          <w:sz w:val="24"/>
        </w:rPr>
        <w:t>片区内排水用地、道路用地、街旁绿地、防护绿地、公建预留等属于公益性用地，片区公益性用地比例符合《自然资源部关于印发&lt;土地征收成片开发标准&gt;的通知》（自然资规〔2023〕7号）以及江苏省土地征收成片开发方案审查要点中公益性用地占比不低于40%的规定。</w:t>
      </w:r>
    </w:p>
    <w:p w14:paraId="57AF38CF">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六</w:t>
      </w:r>
      <w:r>
        <w:rPr>
          <w:rFonts w:eastAsia="方正黑体_GBK"/>
          <w:sz w:val="28"/>
          <w:szCs w:val="28"/>
        </w:rPr>
        <w:t>、</w:t>
      </w:r>
      <w:r>
        <w:rPr>
          <w:rFonts w:hint="eastAsia" w:eastAsia="方正黑体_GBK"/>
          <w:sz w:val="28"/>
          <w:szCs w:val="28"/>
        </w:rPr>
        <w:t>规划符合情况</w:t>
      </w:r>
    </w:p>
    <w:p w14:paraId="78233B88">
      <w:pPr>
        <w:spacing w:line="360" w:lineRule="auto"/>
        <w:ind w:firstLine="480" w:firstLineChars="200"/>
        <w:rPr>
          <w:rFonts w:eastAsia="仿宋_GB2312"/>
          <w:sz w:val="24"/>
        </w:rPr>
      </w:pPr>
      <w:r>
        <w:rPr>
          <w:rFonts w:hint="eastAsia" w:eastAsia="仿宋_GB2312"/>
          <w:sz w:val="24"/>
        </w:rPr>
        <w:t>1、本方案符合国民经济和社会发展规划的发展定位、要求，已纳入国民经济和社会发展年度计划。</w:t>
      </w:r>
    </w:p>
    <w:p w14:paraId="7AAFC48B">
      <w:pPr>
        <w:spacing w:line="360" w:lineRule="auto"/>
        <w:ind w:firstLine="480" w:firstLineChars="200"/>
        <w:rPr>
          <w:rFonts w:eastAsia="仿宋_GB2312"/>
          <w:sz w:val="24"/>
        </w:rPr>
      </w:pPr>
      <w:r>
        <w:rPr>
          <w:rFonts w:hint="eastAsia" w:eastAsia="仿宋_GB2312"/>
          <w:sz w:val="24"/>
        </w:rPr>
        <w:t>2、本方案符合已批复的国土空间规划，成片开发范围位于已批复的城镇开发边界内。</w:t>
      </w:r>
    </w:p>
    <w:p w14:paraId="4413F751">
      <w:pPr>
        <w:spacing w:line="360" w:lineRule="auto"/>
        <w:ind w:firstLine="480" w:firstLineChars="200"/>
        <w:rPr>
          <w:rFonts w:eastAsia="仿宋_GB2312"/>
          <w:sz w:val="24"/>
        </w:rPr>
      </w:pPr>
      <w:r>
        <w:rPr>
          <w:rFonts w:hint="eastAsia" w:eastAsia="仿宋_GB2312"/>
          <w:sz w:val="24"/>
        </w:rPr>
        <w:t>3、根据《高淳城北商务区北片区控制性详细规</w:t>
      </w:r>
      <w:bookmarkStart w:id="1" w:name="_GoBack"/>
      <w:bookmarkEnd w:id="1"/>
      <w:r>
        <w:rPr>
          <w:rFonts w:hint="eastAsia" w:eastAsia="仿宋_GB2312"/>
          <w:sz w:val="24"/>
        </w:rPr>
        <w:t>划》NJGCb020-01规划管理单元图则，片区规划地类工业、科研、居住、商住混合、公建预留、公园绿地等用地，本方案符合控制性详细规划。</w:t>
      </w:r>
    </w:p>
    <w:p w14:paraId="4D03AAC7">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七、永久基本农田及生态保护情况</w:t>
      </w:r>
    </w:p>
    <w:p w14:paraId="20BB71A8">
      <w:pPr>
        <w:spacing w:line="360" w:lineRule="auto"/>
        <w:ind w:firstLine="480" w:firstLineChars="200"/>
        <w:rPr>
          <w:rFonts w:eastAsia="仿宋_GB2312"/>
          <w:sz w:val="24"/>
        </w:rPr>
      </w:pPr>
      <w:r>
        <w:rPr>
          <w:rFonts w:hint="eastAsia" w:eastAsia="仿宋_GB2312"/>
          <w:sz w:val="24"/>
        </w:rPr>
        <w:t>成片开发范围不涉及永久基本农田和生态保护红线。</w:t>
      </w:r>
    </w:p>
    <w:p w14:paraId="5203F9F2">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八、拟建设项目、开发时序和实施计划</w:t>
      </w:r>
    </w:p>
    <w:p w14:paraId="7D98906D">
      <w:pPr>
        <w:spacing w:line="360" w:lineRule="auto"/>
        <w:ind w:firstLine="480" w:firstLineChars="200"/>
        <w:rPr>
          <w:rFonts w:eastAsia="仿宋_GB2312"/>
          <w:sz w:val="24"/>
        </w:rPr>
      </w:pPr>
      <w:r>
        <w:rPr>
          <w:rFonts w:hint="eastAsia" w:eastAsia="仿宋_GB2312"/>
          <w:sz w:val="24"/>
        </w:rPr>
        <w:t>成片开发</w:t>
      </w:r>
      <w:r>
        <w:rPr>
          <w:rFonts w:hint="eastAsia" w:eastAsia="仿宋_GB2312"/>
          <w:sz w:val="24"/>
          <w:highlight w:val="none"/>
        </w:rPr>
        <w:t>范围内拟建设项目以工业、科研、居住、商住混合、公建预留、公园绿地为主，计划2026-2030年分</w:t>
      </w:r>
      <w:r>
        <w:rPr>
          <w:rFonts w:hint="eastAsia" w:eastAsia="仿宋_GB2312"/>
          <w:sz w:val="24"/>
        </w:rPr>
        <w:t>批次启动土地征收工作</w:t>
      </w:r>
      <w:r>
        <w:rPr>
          <w:rFonts w:eastAsia="仿宋_GB2312"/>
          <w:sz w:val="24"/>
        </w:rPr>
        <w:t>。</w:t>
      </w:r>
    </w:p>
    <w:p w14:paraId="60E9ABCB">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九、选址适宜性</w:t>
      </w:r>
    </w:p>
    <w:p w14:paraId="7F7070DF">
      <w:pPr>
        <w:spacing w:line="360" w:lineRule="auto"/>
        <w:ind w:firstLine="480" w:firstLineChars="200"/>
        <w:rPr>
          <w:rFonts w:eastAsia="仿宋_GB2312"/>
          <w:sz w:val="24"/>
        </w:rPr>
      </w:pPr>
      <w:r>
        <w:rPr>
          <w:rFonts w:hint="eastAsia" w:eastAsia="仿宋_GB2312"/>
          <w:sz w:val="24"/>
        </w:rPr>
        <w:t>项目选址未见现状地质灾害，未处于地质灾害易发区。</w:t>
      </w:r>
    </w:p>
    <w:p w14:paraId="17A70AF5">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十、落实被征地群众安置补偿、维护群众利益的计划措施</w:t>
      </w:r>
    </w:p>
    <w:p w14:paraId="7E5C1ADD">
      <w:pPr>
        <w:spacing w:line="360" w:lineRule="auto"/>
        <w:ind w:firstLine="480" w:firstLineChars="200"/>
        <w:rPr>
          <w:rFonts w:eastAsia="仿宋_GB2312"/>
          <w:sz w:val="24"/>
        </w:rPr>
      </w:pPr>
      <w:r>
        <w:rPr>
          <w:rFonts w:hint="eastAsia" w:eastAsia="仿宋_GB2312"/>
          <w:sz w:val="24"/>
        </w:rPr>
        <w:t>1、征地补偿标准：参照《高淳区政府关于调整高淳区征地区片综合地价执行标准的通知》（高政规〔2024〕1号）的标准执行。</w:t>
      </w:r>
    </w:p>
    <w:p w14:paraId="2E7F8387">
      <w:pPr>
        <w:spacing w:line="360" w:lineRule="auto"/>
        <w:ind w:firstLine="480" w:firstLineChars="200"/>
        <w:rPr>
          <w:rFonts w:eastAsia="仿宋_GB2312"/>
          <w:sz w:val="24"/>
        </w:rPr>
      </w:pPr>
      <w:r>
        <w:rPr>
          <w:rFonts w:hint="eastAsia" w:eastAsia="仿宋_GB2312"/>
          <w:sz w:val="24"/>
        </w:rPr>
        <w:t>2、征地安置：高淳区人民政府计划通过货币安置、社保安置、搬迁安置相结合的安置方式，可以妥善解决被征地农民的生产和生活。</w:t>
      </w:r>
    </w:p>
    <w:p w14:paraId="6CE5939A">
      <w:pPr>
        <w:spacing w:line="360" w:lineRule="auto"/>
        <w:ind w:firstLine="480" w:firstLineChars="200"/>
        <w:rPr>
          <w:rFonts w:eastAsia="仿宋_GB2312"/>
          <w:sz w:val="24"/>
        </w:rPr>
      </w:pPr>
      <w:r>
        <w:rPr>
          <w:rFonts w:hint="eastAsia" w:eastAsia="仿宋_GB2312"/>
          <w:sz w:val="24"/>
        </w:rPr>
        <w:t>3、征地程序：征收土地涉及的南京市规划和自然资源局高淳分局将严格按规定履行征地报批前告知、现状调查及确认、听证、公告等程序。</w:t>
      </w:r>
    </w:p>
    <w:p w14:paraId="3E5C78AD">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十一、土地利用效益评估</w:t>
      </w:r>
    </w:p>
    <w:p w14:paraId="7C8E56E4">
      <w:pPr>
        <w:spacing w:line="360" w:lineRule="auto"/>
        <w:ind w:firstLine="480" w:firstLineChars="200"/>
        <w:rPr>
          <w:rFonts w:eastAsia="仿宋_GB2312"/>
          <w:sz w:val="24"/>
        </w:rPr>
      </w:pPr>
      <w:r>
        <w:rPr>
          <w:rFonts w:hint="eastAsia" w:eastAsia="仿宋_GB2312"/>
          <w:sz w:val="24"/>
        </w:rPr>
        <w:t>1、土地利用效益：有效整合区域内土地资源，促进各板块土地资源要素的统筹利用，提升土地利用效率。</w:t>
      </w:r>
    </w:p>
    <w:p w14:paraId="7BA8650E">
      <w:pPr>
        <w:spacing w:line="360" w:lineRule="auto"/>
        <w:ind w:firstLine="480" w:firstLineChars="200"/>
        <w:rPr>
          <w:rFonts w:eastAsia="仿宋_GB2312"/>
          <w:sz w:val="24"/>
        </w:rPr>
      </w:pPr>
      <w:r>
        <w:rPr>
          <w:rFonts w:hint="eastAsia" w:eastAsia="仿宋_GB2312"/>
          <w:sz w:val="24"/>
        </w:rPr>
        <w:t>2、经济效益：城北商务区薛城片区的建设，有利于保障重点项目建设，推进产业发展，助力高淳区经济发展。</w:t>
      </w:r>
    </w:p>
    <w:p w14:paraId="0639D096">
      <w:pPr>
        <w:spacing w:line="360" w:lineRule="auto"/>
        <w:ind w:firstLine="480" w:firstLineChars="200"/>
        <w:rPr>
          <w:rFonts w:eastAsia="仿宋_GB2312"/>
          <w:sz w:val="24"/>
        </w:rPr>
      </w:pPr>
      <w:r>
        <w:rPr>
          <w:rFonts w:hint="eastAsia" w:eastAsia="仿宋_GB2312"/>
          <w:sz w:val="24"/>
        </w:rPr>
        <w:t>3、社会效益：城北商务区薛城片区的建设，有利于完善市政基础设施、增加就业岗位、提高就业率、促进人民安居，保障公共利益。</w:t>
      </w:r>
    </w:p>
    <w:p w14:paraId="7303BFC3">
      <w:pPr>
        <w:spacing w:line="360" w:lineRule="auto"/>
        <w:ind w:firstLine="480" w:firstLineChars="200"/>
        <w:rPr>
          <w:rFonts w:eastAsia="仿宋_GB2312"/>
          <w:sz w:val="24"/>
        </w:rPr>
      </w:pPr>
      <w:r>
        <w:rPr>
          <w:rFonts w:hint="eastAsia" w:eastAsia="仿宋_GB2312"/>
          <w:sz w:val="24"/>
        </w:rPr>
        <w:t>4、生态效益：城北商务区薛城片区的建设，有利于促进区域生态资源整合、生态功能强化。</w:t>
      </w:r>
    </w:p>
    <w:p w14:paraId="71E0A1A9">
      <w:pPr>
        <w:spacing w:before="120" w:after="120" w:line="360" w:lineRule="auto"/>
        <w:ind w:firstLine="560" w:firstLineChars="200"/>
        <w:jc w:val="left"/>
        <w:outlineLvl w:val="0"/>
        <w:rPr>
          <w:rFonts w:eastAsia="方正黑体_GBK"/>
          <w:sz w:val="28"/>
          <w:szCs w:val="28"/>
        </w:rPr>
      </w:pPr>
      <w:r>
        <w:rPr>
          <w:rFonts w:hint="eastAsia" w:eastAsia="方正黑体_GBK"/>
          <w:sz w:val="28"/>
          <w:szCs w:val="28"/>
        </w:rPr>
        <w:t>十二、结论</w:t>
      </w:r>
    </w:p>
    <w:p w14:paraId="51A6BA1E">
      <w:pPr>
        <w:spacing w:line="360" w:lineRule="auto"/>
        <w:ind w:firstLine="480" w:firstLineChars="200"/>
        <w:rPr>
          <w:rFonts w:eastAsia="仿宋_GB2312"/>
          <w:sz w:val="24"/>
        </w:rPr>
      </w:pPr>
      <w:r>
        <w:rPr>
          <w:rFonts w:hint="eastAsia" w:eastAsia="仿宋_GB2312"/>
          <w:sz w:val="24"/>
        </w:rPr>
        <w:t>《高淳区城北商务区薛城片区土地征收成片开发方案》符合自然资源部土地征收成片开发的标准，做到了保护耕地、维护农民合法权益、节约集约用地、保护生态环境，能够促进经济社会可持续发展。</w:t>
      </w:r>
    </w:p>
    <w:p w14:paraId="043EF621">
      <w:pPr>
        <w:spacing w:before="120" w:after="120" w:line="360" w:lineRule="auto"/>
        <w:jc w:val="left"/>
        <w:outlineLvl w:val="0"/>
        <w:rPr>
          <w:rFonts w:eastAsia="方正小标宋_GBK"/>
          <w:sz w:val="28"/>
          <w:szCs w:val="28"/>
        </w:rPr>
      </w:pPr>
      <w:r>
        <w:rPr>
          <w:rFonts w:eastAsia="方正小标宋_GBK"/>
          <w:sz w:val="28"/>
          <w:szCs w:val="28"/>
        </w:rPr>
        <w:drawing>
          <wp:anchor distT="0" distB="0" distL="114300" distR="114300" simplePos="0" relativeHeight="251659264" behindDoc="0" locked="0" layoutInCell="1" allowOverlap="1">
            <wp:simplePos x="0" y="0"/>
            <wp:positionH relativeFrom="margin">
              <wp:align>right</wp:align>
            </wp:positionH>
            <wp:positionV relativeFrom="margin">
              <wp:posOffset>143510</wp:posOffset>
            </wp:positionV>
            <wp:extent cx="5274310" cy="3731895"/>
            <wp:effectExtent l="0" t="0" r="2540" b="1905"/>
            <wp:wrapSquare wrapText="bothSides"/>
            <wp:docPr id="2071196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9645" name="图片 2"/>
                    <pic:cNvPicPr>
                      <a:picLocks noChangeAspect="1" noChangeArrowheads="1"/>
                    </pic:cNvPicPr>
                  </pic:nvPicPr>
                  <pic:blipFill>
                    <a:blip r:embed="rId4"/>
                    <a:stretch>
                      <a:fillRect/>
                    </a:stretch>
                  </pic:blipFill>
                  <pic:spPr>
                    <a:xfrm>
                      <a:off x="0" y="0"/>
                      <a:ext cx="5274310" cy="373189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FmYzJiYzhkNjIxM2VlYzM3ZTI0YzM4NjYxOGY4NmEifQ=="/>
  </w:docVars>
  <w:rsids>
    <w:rsidRoot w:val="00D57362"/>
    <w:rsid w:val="00017812"/>
    <w:rsid w:val="00020AF2"/>
    <w:rsid w:val="00023C6B"/>
    <w:rsid w:val="00025AAA"/>
    <w:rsid w:val="00027786"/>
    <w:rsid w:val="000356A2"/>
    <w:rsid w:val="0003639B"/>
    <w:rsid w:val="00037799"/>
    <w:rsid w:val="000473C5"/>
    <w:rsid w:val="000527DF"/>
    <w:rsid w:val="00056859"/>
    <w:rsid w:val="0005764C"/>
    <w:rsid w:val="00057757"/>
    <w:rsid w:val="0006662C"/>
    <w:rsid w:val="000701A7"/>
    <w:rsid w:val="000704F6"/>
    <w:rsid w:val="00071C47"/>
    <w:rsid w:val="0007584F"/>
    <w:rsid w:val="00080DEE"/>
    <w:rsid w:val="000910D2"/>
    <w:rsid w:val="00093DCA"/>
    <w:rsid w:val="000A4194"/>
    <w:rsid w:val="000A5710"/>
    <w:rsid w:val="000B544F"/>
    <w:rsid w:val="000D0F02"/>
    <w:rsid w:val="000D3502"/>
    <w:rsid w:val="000E09F1"/>
    <w:rsid w:val="000E37D9"/>
    <w:rsid w:val="000E47B0"/>
    <w:rsid w:val="00106F46"/>
    <w:rsid w:val="00114854"/>
    <w:rsid w:val="0012434A"/>
    <w:rsid w:val="00136D86"/>
    <w:rsid w:val="00145BC5"/>
    <w:rsid w:val="00154D56"/>
    <w:rsid w:val="00154FF9"/>
    <w:rsid w:val="00160D64"/>
    <w:rsid w:val="001644A5"/>
    <w:rsid w:val="00174F15"/>
    <w:rsid w:val="00175331"/>
    <w:rsid w:val="0018664F"/>
    <w:rsid w:val="00194017"/>
    <w:rsid w:val="001A07C6"/>
    <w:rsid w:val="001B4AE3"/>
    <w:rsid w:val="001B6D63"/>
    <w:rsid w:val="001C6E0A"/>
    <w:rsid w:val="001D3C72"/>
    <w:rsid w:val="001E2078"/>
    <w:rsid w:val="001F3114"/>
    <w:rsid w:val="001F6C1D"/>
    <w:rsid w:val="0020540C"/>
    <w:rsid w:val="00206D93"/>
    <w:rsid w:val="002154E5"/>
    <w:rsid w:val="0022622F"/>
    <w:rsid w:val="00227CBD"/>
    <w:rsid w:val="00244596"/>
    <w:rsid w:val="00245F75"/>
    <w:rsid w:val="002473BC"/>
    <w:rsid w:val="00251C56"/>
    <w:rsid w:val="00262E4A"/>
    <w:rsid w:val="0028197C"/>
    <w:rsid w:val="002908D5"/>
    <w:rsid w:val="002946ED"/>
    <w:rsid w:val="002A30E6"/>
    <w:rsid w:val="002D0F90"/>
    <w:rsid w:val="002E10A9"/>
    <w:rsid w:val="002E77B3"/>
    <w:rsid w:val="002F6443"/>
    <w:rsid w:val="0030472B"/>
    <w:rsid w:val="003132CA"/>
    <w:rsid w:val="003155A3"/>
    <w:rsid w:val="00315E78"/>
    <w:rsid w:val="00317488"/>
    <w:rsid w:val="00326026"/>
    <w:rsid w:val="00326060"/>
    <w:rsid w:val="0033264B"/>
    <w:rsid w:val="00341AA4"/>
    <w:rsid w:val="00344952"/>
    <w:rsid w:val="003548ED"/>
    <w:rsid w:val="0037409A"/>
    <w:rsid w:val="00376921"/>
    <w:rsid w:val="00392B53"/>
    <w:rsid w:val="003A566C"/>
    <w:rsid w:val="003A7DEC"/>
    <w:rsid w:val="003B585E"/>
    <w:rsid w:val="003B73F7"/>
    <w:rsid w:val="003C1381"/>
    <w:rsid w:val="003C4420"/>
    <w:rsid w:val="003C50C5"/>
    <w:rsid w:val="003D021D"/>
    <w:rsid w:val="003D74B0"/>
    <w:rsid w:val="003E0332"/>
    <w:rsid w:val="003E64D9"/>
    <w:rsid w:val="003F5EBA"/>
    <w:rsid w:val="004004C2"/>
    <w:rsid w:val="00402E32"/>
    <w:rsid w:val="00404AAF"/>
    <w:rsid w:val="00430A19"/>
    <w:rsid w:val="0043613D"/>
    <w:rsid w:val="00436B59"/>
    <w:rsid w:val="004414C7"/>
    <w:rsid w:val="0045104A"/>
    <w:rsid w:val="0045767D"/>
    <w:rsid w:val="00465A81"/>
    <w:rsid w:val="004720D1"/>
    <w:rsid w:val="00474092"/>
    <w:rsid w:val="00476CB1"/>
    <w:rsid w:val="00487C2C"/>
    <w:rsid w:val="004B2E5D"/>
    <w:rsid w:val="004B7B56"/>
    <w:rsid w:val="004C49C5"/>
    <w:rsid w:val="004E47FE"/>
    <w:rsid w:val="004F1EFB"/>
    <w:rsid w:val="004F2797"/>
    <w:rsid w:val="005122E8"/>
    <w:rsid w:val="00516209"/>
    <w:rsid w:val="00517C1D"/>
    <w:rsid w:val="00553E10"/>
    <w:rsid w:val="005676CA"/>
    <w:rsid w:val="00572198"/>
    <w:rsid w:val="0057322A"/>
    <w:rsid w:val="00577E70"/>
    <w:rsid w:val="00593A70"/>
    <w:rsid w:val="005C1044"/>
    <w:rsid w:val="005D5280"/>
    <w:rsid w:val="005E0828"/>
    <w:rsid w:val="005E3210"/>
    <w:rsid w:val="005F237E"/>
    <w:rsid w:val="00601811"/>
    <w:rsid w:val="006129F7"/>
    <w:rsid w:val="00614523"/>
    <w:rsid w:val="006149EE"/>
    <w:rsid w:val="006156EF"/>
    <w:rsid w:val="00617AF7"/>
    <w:rsid w:val="00634719"/>
    <w:rsid w:val="00644562"/>
    <w:rsid w:val="0066191B"/>
    <w:rsid w:val="00665054"/>
    <w:rsid w:val="00672210"/>
    <w:rsid w:val="0067663A"/>
    <w:rsid w:val="00696E7E"/>
    <w:rsid w:val="006A52A1"/>
    <w:rsid w:val="006D791D"/>
    <w:rsid w:val="006E1C78"/>
    <w:rsid w:val="006F3433"/>
    <w:rsid w:val="006F63C3"/>
    <w:rsid w:val="00710D1D"/>
    <w:rsid w:val="00713798"/>
    <w:rsid w:val="0071526C"/>
    <w:rsid w:val="00721F39"/>
    <w:rsid w:val="00727D20"/>
    <w:rsid w:val="00731176"/>
    <w:rsid w:val="007377C9"/>
    <w:rsid w:val="0074341A"/>
    <w:rsid w:val="00757005"/>
    <w:rsid w:val="00775EB3"/>
    <w:rsid w:val="0078036C"/>
    <w:rsid w:val="00792839"/>
    <w:rsid w:val="007958ED"/>
    <w:rsid w:val="007B0C76"/>
    <w:rsid w:val="007B3FFD"/>
    <w:rsid w:val="007B480C"/>
    <w:rsid w:val="007D2306"/>
    <w:rsid w:val="007D5B00"/>
    <w:rsid w:val="007D5B5A"/>
    <w:rsid w:val="00803A58"/>
    <w:rsid w:val="00803E2C"/>
    <w:rsid w:val="00806EA0"/>
    <w:rsid w:val="00817251"/>
    <w:rsid w:val="008232F6"/>
    <w:rsid w:val="0087672A"/>
    <w:rsid w:val="00895293"/>
    <w:rsid w:val="00897114"/>
    <w:rsid w:val="008A2FB9"/>
    <w:rsid w:val="008A4B31"/>
    <w:rsid w:val="008B514A"/>
    <w:rsid w:val="008B6800"/>
    <w:rsid w:val="008C4F8F"/>
    <w:rsid w:val="008E43F9"/>
    <w:rsid w:val="009128CE"/>
    <w:rsid w:val="00913B7D"/>
    <w:rsid w:val="009230CF"/>
    <w:rsid w:val="0093107F"/>
    <w:rsid w:val="00933E8D"/>
    <w:rsid w:val="00934FBF"/>
    <w:rsid w:val="0093654B"/>
    <w:rsid w:val="00940048"/>
    <w:rsid w:val="009450DC"/>
    <w:rsid w:val="00972487"/>
    <w:rsid w:val="00973D15"/>
    <w:rsid w:val="009800E7"/>
    <w:rsid w:val="00981511"/>
    <w:rsid w:val="00983042"/>
    <w:rsid w:val="00986FB8"/>
    <w:rsid w:val="00993D5F"/>
    <w:rsid w:val="009A576A"/>
    <w:rsid w:val="009C27A7"/>
    <w:rsid w:val="009C77FF"/>
    <w:rsid w:val="009D74D0"/>
    <w:rsid w:val="009E2DAA"/>
    <w:rsid w:val="009F090A"/>
    <w:rsid w:val="009F09AB"/>
    <w:rsid w:val="009F0E4C"/>
    <w:rsid w:val="00A04E13"/>
    <w:rsid w:val="00A05C31"/>
    <w:rsid w:val="00A22799"/>
    <w:rsid w:val="00A243EA"/>
    <w:rsid w:val="00A41779"/>
    <w:rsid w:val="00A44196"/>
    <w:rsid w:val="00A521A3"/>
    <w:rsid w:val="00A84D8C"/>
    <w:rsid w:val="00A94F29"/>
    <w:rsid w:val="00A9581C"/>
    <w:rsid w:val="00AA26D3"/>
    <w:rsid w:val="00AA4527"/>
    <w:rsid w:val="00AA5C04"/>
    <w:rsid w:val="00AC3DF5"/>
    <w:rsid w:val="00AD35F5"/>
    <w:rsid w:val="00AF124F"/>
    <w:rsid w:val="00AF685F"/>
    <w:rsid w:val="00B0529D"/>
    <w:rsid w:val="00B12285"/>
    <w:rsid w:val="00B21526"/>
    <w:rsid w:val="00B365C4"/>
    <w:rsid w:val="00B36686"/>
    <w:rsid w:val="00B408FE"/>
    <w:rsid w:val="00B43A20"/>
    <w:rsid w:val="00B618CD"/>
    <w:rsid w:val="00B63155"/>
    <w:rsid w:val="00B83360"/>
    <w:rsid w:val="00B87A0A"/>
    <w:rsid w:val="00B937BA"/>
    <w:rsid w:val="00BA0DA9"/>
    <w:rsid w:val="00BA6368"/>
    <w:rsid w:val="00BB09D2"/>
    <w:rsid w:val="00BB3142"/>
    <w:rsid w:val="00BB5F8A"/>
    <w:rsid w:val="00BC0AB2"/>
    <w:rsid w:val="00BC620C"/>
    <w:rsid w:val="00BC73C6"/>
    <w:rsid w:val="00BD1ED9"/>
    <w:rsid w:val="00BF7994"/>
    <w:rsid w:val="00C03B39"/>
    <w:rsid w:val="00C14B57"/>
    <w:rsid w:val="00C202DE"/>
    <w:rsid w:val="00C25329"/>
    <w:rsid w:val="00C3628D"/>
    <w:rsid w:val="00C37ED3"/>
    <w:rsid w:val="00C45FE1"/>
    <w:rsid w:val="00C46F77"/>
    <w:rsid w:val="00C5351A"/>
    <w:rsid w:val="00C618D8"/>
    <w:rsid w:val="00C63EEE"/>
    <w:rsid w:val="00C8156E"/>
    <w:rsid w:val="00C82662"/>
    <w:rsid w:val="00C82BBE"/>
    <w:rsid w:val="00C92269"/>
    <w:rsid w:val="00C948E5"/>
    <w:rsid w:val="00C97318"/>
    <w:rsid w:val="00C97A17"/>
    <w:rsid w:val="00CA1D51"/>
    <w:rsid w:val="00CB42B6"/>
    <w:rsid w:val="00CB4D1C"/>
    <w:rsid w:val="00CD116B"/>
    <w:rsid w:val="00CD13E5"/>
    <w:rsid w:val="00CD3515"/>
    <w:rsid w:val="00CE6BF9"/>
    <w:rsid w:val="00CE7B8F"/>
    <w:rsid w:val="00CF0E01"/>
    <w:rsid w:val="00D032A6"/>
    <w:rsid w:val="00D31B0F"/>
    <w:rsid w:val="00D36B89"/>
    <w:rsid w:val="00D3768D"/>
    <w:rsid w:val="00D51E26"/>
    <w:rsid w:val="00D54256"/>
    <w:rsid w:val="00D54B05"/>
    <w:rsid w:val="00D56AD7"/>
    <w:rsid w:val="00D57362"/>
    <w:rsid w:val="00D72C56"/>
    <w:rsid w:val="00D7308B"/>
    <w:rsid w:val="00D80C2C"/>
    <w:rsid w:val="00D93225"/>
    <w:rsid w:val="00DA0432"/>
    <w:rsid w:val="00DA0825"/>
    <w:rsid w:val="00DA32CA"/>
    <w:rsid w:val="00DA3E00"/>
    <w:rsid w:val="00DB3964"/>
    <w:rsid w:val="00DD0509"/>
    <w:rsid w:val="00DD0B7E"/>
    <w:rsid w:val="00DD7A01"/>
    <w:rsid w:val="00DF1D74"/>
    <w:rsid w:val="00E0186E"/>
    <w:rsid w:val="00E077F3"/>
    <w:rsid w:val="00E10526"/>
    <w:rsid w:val="00E1633D"/>
    <w:rsid w:val="00E5205E"/>
    <w:rsid w:val="00E576F7"/>
    <w:rsid w:val="00E66E4B"/>
    <w:rsid w:val="00E66FA8"/>
    <w:rsid w:val="00E81D9E"/>
    <w:rsid w:val="00EA1AF4"/>
    <w:rsid w:val="00EC5EF7"/>
    <w:rsid w:val="00ED2295"/>
    <w:rsid w:val="00ED7F73"/>
    <w:rsid w:val="00EE1014"/>
    <w:rsid w:val="00EF0063"/>
    <w:rsid w:val="00EF0AF1"/>
    <w:rsid w:val="00EF26C9"/>
    <w:rsid w:val="00F02314"/>
    <w:rsid w:val="00F11BC3"/>
    <w:rsid w:val="00F139C6"/>
    <w:rsid w:val="00F46BCD"/>
    <w:rsid w:val="00F6189A"/>
    <w:rsid w:val="00F637B8"/>
    <w:rsid w:val="00F67440"/>
    <w:rsid w:val="00F676E7"/>
    <w:rsid w:val="00F73C98"/>
    <w:rsid w:val="00F743E1"/>
    <w:rsid w:val="00F96240"/>
    <w:rsid w:val="00FA3951"/>
    <w:rsid w:val="00FB2FF7"/>
    <w:rsid w:val="00FB5424"/>
    <w:rsid w:val="00FB5A62"/>
    <w:rsid w:val="00FB6699"/>
    <w:rsid w:val="00FB6A6D"/>
    <w:rsid w:val="00FD1850"/>
    <w:rsid w:val="00FD47A3"/>
    <w:rsid w:val="00FD6990"/>
    <w:rsid w:val="00FE0485"/>
    <w:rsid w:val="00FE3ADD"/>
    <w:rsid w:val="00FF4A8A"/>
    <w:rsid w:val="00FF7545"/>
    <w:rsid w:val="120D1055"/>
    <w:rsid w:val="13EC0AED"/>
    <w:rsid w:val="14CE7D84"/>
    <w:rsid w:val="171E3326"/>
    <w:rsid w:val="1B9F464B"/>
    <w:rsid w:val="1BBC1352"/>
    <w:rsid w:val="2D746810"/>
    <w:rsid w:val="2FD76537"/>
    <w:rsid w:val="351A59B6"/>
    <w:rsid w:val="37B070DD"/>
    <w:rsid w:val="38733CF3"/>
    <w:rsid w:val="4CD33126"/>
    <w:rsid w:val="4F3F28E5"/>
    <w:rsid w:val="66302E55"/>
    <w:rsid w:val="6690606B"/>
    <w:rsid w:val="6B914F02"/>
    <w:rsid w:val="6BD33EAB"/>
    <w:rsid w:val="760035B2"/>
    <w:rsid w:val="772E1A0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5"/>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semiHidden/>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footer"/>
    <w:basedOn w:val="1"/>
    <w:link w:val="28"/>
    <w:unhideWhenUsed/>
    <w:qFormat/>
    <w:uiPriority w:val="99"/>
    <w:pPr>
      <w:tabs>
        <w:tab w:val="center" w:pos="4153"/>
        <w:tab w:val="right" w:pos="8306"/>
      </w:tabs>
      <w:snapToGrid w:val="0"/>
      <w:jc w:val="left"/>
    </w:pPr>
    <w:rPr>
      <w:sz w:val="18"/>
      <w:szCs w:val="18"/>
    </w:rPr>
  </w:style>
  <w:style w:type="paragraph" w:styleId="7">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22"/>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link w:val="19"/>
    <w:qFormat/>
    <w:uiPriority w:val="0"/>
    <w:pPr>
      <w:spacing w:before="240" w:after="60"/>
      <w:jc w:val="center"/>
      <w:outlineLvl w:val="0"/>
    </w:pPr>
    <w:rPr>
      <w:rFonts w:asciiTheme="majorHAnsi" w:hAnsiTheme="majorHAnsi" w:eastAsiaTheme="majorEastAsia" w:cstheme="majorBidi"/>
      <w:b/>
      <w:bCs/>
      <w:sz w:val="32"/>
      <w:szCs w:val="32"/>
    </w:rPr>
  </w:style>
  <w:style w:type="character" w:styleId="13">
    <w:name w:val="Strong"/>
    <w:basedOn w:val="12"/>
    <w:qFormat/>
    <w:uiPriority w:val="22"/>
    <w:rPr>
      <w:b/>
      <w:bCs/>
    </w:rPr>
  </w:style>
  <w:style w:type="character" w:customStyle="1" w:styleId="14">
    <w:name w:val="标题 1 字符"/>
    <w:basedOn w:val="12"/>
    <w:link w:val="2"/>
    <w:qFormat/>
    <w:uiPriority w:val="0"/>
    <w:rPr>
      <w:b/>
      <w:bCs/>
      <w:kern w:val="44"/>
      <w:sz w:val="44"/>
      <w:szCs w:val="44"/>
    </w:rPr>
  </w:style>
  <w:style w:type="character" w:customStyle="1" w:styleId="15">
    <w:name w:val="标题 2 字符"/>
    <w:basedOn w:val="12"/>
    <w:link w:val="3"/>
    <w:semiHidden/>
    <w:qFormat/>
    <w:uiPriority w:val="0"/>
    <w:rPr>
      <w:rFonts w:asciiTheme="majorHAnsi" w:hAnsiTheme="majorHAnsi" w:eastAsiaTheme="majorEastAsia" w:cstheme="majorBidi"/>
      <w:b/>
      <w:bCs/>
      <w:kern w:val="2"/>
      <w:sz w:val="32"/>
      <w:szCs w:val="32"/>
    </w:rPr>
  </w:style>
  <w:style w:type="character" w:customStyle="1" w:styleId="16">
    <w:name w:val="标题 3 字符"/>
    <w:basedOn w:val="12"/>
    <w:link w:val="4"/>
    <w:semiHidden/>
    <w:qFormat/>
    <w:uiPriority w:val="0"/>
    <w:rPr>
      <w:b/>
      <w:bCs/>
      <w:kern w:val="2"/>
      <w:sz w:val="32"/>
      <w:szCs w:val="32"/>
    </w:rPr>
  </w:style>
  <w:style w:type="paragraph" w:customStyle="1" w:styleId="17">
    <w:name w:val="一级标题（方正黑体）"/>
    <w:basedOn w:val="10"/>
    <w:link w:val="18"/>
    <w:qFormat/>
    <w:uiPriority w:val="0"/>
    <w:rPr>
      <w:rFonts w:eastAsia="方正黑体_GBK"/>
      <w:sz w:val="36"/>
    </w:rPr>
  </w:style>
  <w:style w:type="character" w:customStyle="1" w:styleId="18">
    <w:name w:val="一级标题（方正黑体） 字符"/>
    <w:basedOn w:val="19"/>
    <w:link w:val="17"/>
    <w:qFormat/>
    <w:uiPriority w:val="0"/>
    <w:rPr>
      <w:rFonts w:eastAsia="方正黑体_GBK" w:asciiTheme="majorHAnsi" w:hAnsiTheme="majorHAnsi" w:cstheme="majorBidi"/>
      <w:kern w:val="2"/>
      <w:sz w:val="36"/>
      <w:szCs w:val="32"/>
    </w:rPr>
  </w:style>
  <w:style w:type="character" w:customStyle="1" w:styleId="19">
    <w:name w:val="标题 字符"/>
    <w:basedOn w:val="12"/>
    <w:link w:val="10"/>
    <w:qFormat/>
    <w:uiPriority w:val="0"/>
    <w:rPr>
      <w:rFonts w:asciiTheme="majorHAnsi" w:hAnsiTheme="majorHAnsi" w:eastAsiaTheme="majorEastAsia" w:cstheme="majorBidi"/>
      <w:b/>
      <w:bCs/>
      <w:kern w:val="2"/>
      <w:sz w:val="32"/>
      <w:szCs w:val="32"/>
    </w:rPr>
  </w:style>
  <w:style w:type="paragraph" w:customStyle="1" w:styleId="20">
    <w:name w:val="二级标题"/>
    <w:basedOn w:val="8"/>
    <w:link w:val="21"/>
    <w:qFormat/>
    <w:uiPriority w:val="0"/>
    <w:pPr>
      <w:jc w:val="left"/>
    </w:pPr>
    <w:rPr>
      <w:rFonts w:eastAsia="仿宋_GB2312"/>
    </w:rPr>
  </w:style>
  <w:style w:type="character" w:customStyle="1" w:styleId="21">
    <w:name w:val="二级标题 字符"/>
    <w:basedOn w:val="22"/>
    <w:link w:val="20"/>
    <w:qFormat/>
    <w:uiPriority w:val="0"/>
    <w:rPr>
      <w:rFonts w:eastAsia="仿宋_GB2312" w:asciiTheme="minorHAnsi" w:hAnsiTheme="minorHAnsi" w:cstheme="minorBidi"/>
      <w:kern w:val="28"/>
      <w:sz w:val="32"/>
      <w:szCs w:val="32"/>
    </w:rPr>
  </w:style>
  <w:style w:type="character" w:customStyle="1" w:styleId="22">
    <w:name w:val="副标题 字符"/>
    <w:basedOn w:val="12"/>
    <w:link w:val="8"/>
    <w:qFormat/>
    <w:uiPriority w:val="0"/>
    <w:rPr>
      <w:rFonts w:asciiTheme="minorHAnsi" w:hAnsiTheme="minorHAnsi" w:eastAsiaTheme="minorEastAsia" w:cstheme="minorBidi"/>
      <w:b/>
      <w:bCs/>
      <w:kern w:val="28"/>
      <w:sz w:val="32"/>
      <w:szCs w:val="32"/>
    </w:rPr>
  </w:style>
  <w:style w:type="paragraph" w:customStyle="1" w:styleId="23">
    <w:name w:val="文本"/>
    <w:basedOn w:val="1"/>
    <w:link w:val="24"/>
    <w:qFormat/>
    <w:uiPriority w:val="0"/>
    <w:rPr>
      <w:rFonts w:eastAsia="方正仿宋简体" w:asciiTheme="minorHAnsi" w:hAnsiTheme="minorHAnsi" w:cstheme="minorBidi"/>
      <w:b/>
      <w:sz w:val="28"/>
      <w:szCs w:val="22"/>
    </w:rPr>
  </w:style>
  <w:style w:type="character" w:customStyle="1" w:styleId="24">
    <w:name w:val="文本 字符"/>
    <w:basedOn w:val="12"/>
    <w:link w:val="23"/>
    <w:qFormat/>
    <w:uiPriority w:val="0"/>
    <w:rPr>
      <w:rFonts w:eastAsia="方正仿宋简体" w:asciiTheme="minorHAnsi" w:hAnsiTheme="minorHAnsi" w:cstheme="minorBidi"/>
      <w:b/>
      <w:kern w:val="2"/>
      <w:sz w:val="28"/>
      <w:szCs w:val="22"/>
    </w:rPr>
  </w:style>
  <w:style w:type="paragraph" w:customStyle="1" w:styleId="25">
    <w:name w:val="三级标题"/>
    <w:basedOn w:val="4"/>
    <w:next w:val="23"/>
    <w:link w:val="26"/>
    <w:qFormat/>
    <w:uiPriority w:val="0"/>
    <w:pPr>
      <w:spacing w:before="120" w:after="120"/>
      <w:jc w:val="left"/>
    </w:pPr>
    <w:rPr>
      <w:rFonts w:eastAsia="仿宋_GB2312" w:asciiTheme="minorHAnsi" w:hAnsiTheme="minorHAnsi" w:cstheme="minorBidi"/>
    </w:rPr>
  </w:style>
  <w:style w:type="character" w:customStyle="1" w:styleId="26">
    <w:name w:val="三级标题 字符"/>
    <w:basedOn w:val="24"/>
    <w:link w:val="25"/>
    <w:qFormat/>
    <w:uiPriority w:val="0"/>
    <w:rPr>
      <w:rFonts w:eastAsia="仿宋_GB2312" w:asciiTheme="minorHAnsi" w:hAnsiTheme="minorHAnsi" w:cstheme="minorBidi"/>
      <w:bCs/>
      <w:kern w:val="2"/>
      <w:sz w:val="32"/>
      <w:szCs w:val="32"/>
    </w:rPr>
  </w:style>
  <w:style w:type="character" w:customStyle="1" w:styleId="27">
    <w:name w:val="页眉 字符"/>
    <w:basedOn w:val="12"/>
    <w:link w:val="7"/>
    <w:qFormat/>
    <w:uiPriority w:val="99"/>
    <w:rPr>
      <w:kern w:val="2"/>
      <w:sz w:val="18"/>
      <w:szCs w:val="18"/>
    </w:rPr>
  </w:style>
  <w:style w:type="character" w:customStyle="1" w:styleId="28">
    <w:name w:val="页脚 字符"/>
    <w:basedOn w:val="12"/>
    <w:link w:val="6"/>
    <w:qFormat/>
    <w:uiPriority w:val="99"/>
    <w:rPr>
      <w:kern w:val="2"/>
      <w:sz w:val="18"/>
      <w:szCs w:val="18"/>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5</Pages>
  <Words>2382</Words>
  <Characters>2510</Characters>
  <Lines>54</Lines>
  <Paragraphs>49</Paragraphs>
  <TotalTime>259</TotalTime>
  <ScaleCrop>false</ScaleCrop>
  <LinksUpToDate>false</LinksUpToDate>
  <CharactersWithSpaces>2510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2024-11-28T04:10:00Z</dcterms:created>
  <dc:creator>丁良才</dc:creator>
  <cp:lastModifiedBy>NTKO</cp:lastModifiedBy>
  <dcterms:modified xsi:type="dcterms:W3CDTF">2025-10-11T08:28:58Z</dcterms:modified>
  <cp:revision>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0F02F9CFFE144EAD8768A6FFCF319955_12</vt:lpwstr>
  </property>
  <property fmtid="{D5CDD505-2E9C-101B-9397-08002B2CF9AE}" pid="4" name="KSOTemplateDocerSaveRecord">
    <vt:lpwstr>eyJoZGlkIjoiYjU0YTdlM2ExZDIzNjNmZmQzMGE2YzZiZjBmYWU0YjcifQ==</vt:lpwstr>
  </property>
</Properties>
</file>