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7D386">
      <w:pPr>
        <w:pStyle w:val="10"/>
        <w:spacing w:after="120"/>
        <w:rPr>
          <w:rFonts w:ascii="Times New Roman" w:hAnsi="Times New Roman"/>
        </w:rPr>
      </w:pPr>
      <w:r>
        <w:rPr>
          <w:rFonts w:hint="eastAsia" w:ascii="Times New Roman" w:hAnsi="Times New Roman"/>
        </w:rPr>
        <w:t>南京市高淳区关于省生态环境保护督察</w:t>
      </w:r>
    </w:p>
    <w:p w14:paraId="5CBA8DE0">
      <w:pPr>
        <w:pStyle w:val="10"/>
        <w:spacing w:after="120"/>
        <w:rPr>
          <w:rFonts w:ascii="Times New Roman" w:hAnsi="Times New Roman"/>
        </w:rPr>
      </w:pPr>
      <w:r>
        <w:rPr>
          <w:rFonts w:hint="eastAsia" w:ascii="Times New Roman" w:hAnsi="Times New Roman"/>
        </w:rPr>
        <w:t>交办整改任务整改情况公示表</w:t>
      </w:r>
    </w:p>
    <w:tbl>
      <w:tblPr>
        <w:tblStyle w:val="8"/>
        <w:tblW w:w="5111" w:type="pct"/>
        <w:tblInd w:w="-215" w:type="dxa"/>
        <w:tblLayout w:type="autofit"/>
        <w:tblCellMar>
          <w:top w:w="0" w:type="dxa"/>
          <w:left w:w="108" w:type="dxa"/>
          <w:bottom w:w="0" w:type="dxa"/>
          <w:right w:w="108" w:type="dxa"/>
        </w:tblCellMar>
      </w:tblPr>
      <w:tblGrid>
        <w:gridCol w:w="716"/>
        <w:gridCol w:w="1592"/>
        <w:gridCol w:w="1273"/>
        <w:gridCol w:w="1131"/>
        <w:gridCol w:w="3688"/>
        <w:gridCol w:w="5179"/>
        <w:gridCol w:w="910"/>
      </w:tblGrid>
      <w:tr w14:paraId="572AB8AC">
        <w:tblPrEx>
          <w:tblCellMar>
            <w:top w:w="0" w:type="dxa"/>
            <w:left w:w="108" w:type="dxa"/>
            <w:bottom w:w="0" w:type="dxa"/>
            <w:right w:w="108" w:type="dxa"/>
          </w:tblCellMar>
        </w:tblPrEx>
        <w:trPr>
          <w:trHeight w:val="702" w:hRule="atLeast"/>
        </w:trPr>
        <w:tc>
          <w:tcPr>
            <w:tcW w:w="247" w:type="pct"/>
            <w:tcBorders>
              <w:top w:val="single" w:color="auto" w:sz="4" w:space="0"/>
              <w:left w:val="single" w:color="auto" w:sz="4" w:space="0"/>
              <w:bottom w:val="single" w:color="auto" w:sz="4" w:space="0"/>
              <w:right w:val="single" w:color="auto" w:sz="4" w:space="0"/>
            </w:tcBorders>
            <w:vAlign w:val="center"/>
          </w:tcPr>
          <w:p w14:paraId="7BE1AE2D">
            <w:pPr>
              <w:widowControl/>
              <w:spacing w:after="120"/>
              <w:jc w:val="center"/>
              <w:rPr>
                <w:rFonts w:ascii="Times New Roman" w:hAnsi="Times New Roman" w:cs="宋体"/>
                <w:b/>
                <w:kern w:val="0"/>
                <w:sz w:val="22"/>
              </w:rPr>
            </w:pPr>
            <w:r>
              <w:rPr>
                <w:rFonts w:hint="eastAsia" w:ascii="Times New Roman" w:hAnsi="Times New Roman" w:cs="宋体"/>
                <w:b/>
                <w:kern w:val="0"/>
                <w:sz w:val="22"/>
              </w:rPr>
              <w:t>任务编号</w:t>
            </w:r>
          </w:p>
        </w:tc>
        <w:tc>
          <w:tcPr>
            <w:tcW w:w="549" w:type="pct"/>
            <w:tcBorders>
              <w:top w:val="single" w:color="auto" w:sz="4" w:space="0"/>
              <w:left w:val="single" w:color="auto" w:sz="4" w:space="0"/>
              <w:bottom w:val="single" w:color="auto" w:sz="4" w:space="0"/>
              <w:right w:val="single" w:color="auto" w:sz="4" w:space="0"/>
            </w:tcBorders>
            <w:vAlign w:val="center"/>
          </w:tcPr>
          <w:p w14:paraId="1BE3F274">
            <w:pPr>
              <w:widowControl/>
              <w:spacing w:after="120"/>
              <w:jc w:val="center"/>
              <w:rPr>
                <w:rFonts w:ascii="Times New Roman" w:hAnsi="Times New Roman" w:cs="宋体"/>
                <w:b/>
                <w:kern w:val="0"/>
                <w:sz w:val="22"/>
              </w:rPr>
            </w:pPr>
            <w:r>
              <w:rPr>
                <w:rFonts w:hint="eastAsia" w:ascii="Times New Roman" w:hAnsi="Times New Roman" w:cs="宋体"/>
                <w:b/>
                <w:kern w:val="0"/>
                <w:sz w:val="22"/>
              </w:rPr>
              <w:t>整改任务</w:t>
            </w:r>
          </w:p>
        </w:tc>
        <w:tc>
          <w:tcPr>
            <w:tcW w:w="439" w:type="pct"/>
            <w:tcBorders>
              <w:top w:val="single" w:color="auto" w:sz="4" w:space="0"/>
              <w:left w:val="single" w:color="auto" w:sz="4" w:space="0"/>
              <w:bottom w:val="single" w:color="auto" w:sz="4" w:space="0"/>
              <w:right w:val="single" w:color="auto" w:sz="4" w:space="0"/>
            </w:tcBorders>
            <w:vAlign w:val="center"/>
          </w:tcPr>
          <w:p w14:paraId="12D91A98">
            <w:pPr>
              <w:widowControl/>
              <w:spacing w:after="120"/>
              <w:jc w:val="center"/>
              <w:rPr>
                <w:rFonts w:ascii="Times New Roman" w:hAnsi="Times New Roman" w:cs="宋体"/>
                <w:b/>
                <w:kern w:val="0"/>
                <w:sz w:val="22"/>
              </w:rPr>
            </w:pPr>
            <w:r>
              <w:rPr>
                <w:rFonts w:hint="eastAsia" w:ascii="Times New Roman" w:hAnsi="Times New Roman" w:cs="宋体"/>
                <w:b/>
                <w:kern w:val="0"/>
                <w:sz w:val="22"/>
              </w:rPr>
              <w:t>责任单位</w:t>
            </w:r>
          </w:p>
        </w:tc>
        <w:tc>
          <w:tcPr>
            <w:tcW w:w="390" w:type="pct"/>
            <w:tcBorders>
              <w:top w:val="single" w:color="auto" w:sz="4" w:space="0"/>
              <w:left w:val="single" w:color="auto" w:sz="4" w:space="0"/>
              <w:bottom w:val="single" w:color="auto" w:sz="4" w:space="0"/>
              <w:right w:val="single" w:color="auto" w:sz="4" w:space="0"/>
            </w:tcBorders>
            <w:vAlign w:val="center"/>
          </w:tcPr>
          <w:p w14:paraId="2DDDF384">
            <w:pPr>
              <w:widowControl/>
              <w:spacing w:after="120"/>
              <w:jc w:val="center"/>
              <w:rPr>
                <w:rFonts w:ascii="Times New Roman" w:hAnsi="Times New Roman" w:cs="宋体"/>
                <w:b/>
                <w:kern w:val="0"/>
                <w:sz w:val="22"/>
              </w:rPr>
            </w:pPr>
            <w:r>
              <w:rPr>
                <w:rFonts w:hint="eastAsia" w:ascii="Times New Roman" w:hAnsi="Times New Roman" w:cs="宋体"/>
                <w:b/>
                <w:kern w:val="0"/>
                <w:sz w:val="22"/>
              </w:rPr>
              <w:t>整改时限</w:t>
            </w:r>
          </w:p>
        </w:tc>
        <w:tc>
          <w:tcPr>
            <w:tcW w:w="1272" w:type="pct"/>
            <w:tcBorders>
              <w:top w:val="single" w:color="auto" w:sz="4" w:space="0"/>
              <w:left w:val="single" w:color="auto" w:sz="4" w:space="0"/>
              <w:bottom w:val="single" w:color="auto" w:sz="4" w:space="0"/>
              <w:right w:val="single" w:color="auto" w:sz="4" w:space="0"/>
            </w:tcBorders>
            <w:vAlign w:val="center"/>
          </w:tcPr>
          <w:p w14:paraId="36D3CE91">
            <w:pPr>
              <w:widowControl/>
              <w:spacing w:after="120"/>
              <w:jc w:val="center"/>
              <w:rPr>
                <w:rFonts w:ascii="Times New Roman" w:hAnsi="Times New Roman" w:cs="宋体"/>
                <w:b/>
                <w:kern w:val="0"/>
                <w:sz w:val="22"/>
              </w:rPr>
            </w:pPr>
            <w:r>
              <w:rPr>
                <w:rFonts w:hint="eastAsia" w:ascii="Times New Roman" w:hAnsi="Times New Roman" w:cs="宋体"/>
                <w:b/>
                <w:kern w:val="0"/>
                <w:sz w:val="22"/>
              </w:rPr>
              <w:t>整改措施</w:t>
            </w:r>
          </w:p>
        </w:tc>
        <w:tc>
          <w:tcPr>
            <w:tcW w:w="1786" w:type="pct"/>
            <w:tcBorders>
              <w:top w:val="single" w:color="auto" w:sz="4" w:space="0"/>
              <w:left w:val="single" w:color="auto" w:sz="4" w:space="0"/>
              <w:bottom w:val="single" w:color="auto" w:sz="4" w:space="0"/>
              <w:right w:val="single" w:color="auto" w:sz="4" w:space="0"/>
            </w:tcBorders>
            <w:vAlign w:val="center"/>
          </w:tcPr>
          <w:p w14:paraId="76A872AE">
            <w:pPr>
              <w:widowControl/>
              <w:spacing w:after="120"/>
              <w:jc w:val="center"/>
              <w:rPr>
                <w:rFonts w:ascii="Times New Roman" w:hAnsi="Times New Roman" w:cs="宋体"/>
                <w:b/>
                <w:kern w:val="0"/>
                <w:sz w:val="22"/>
              </w:rPr>
            </w:pPr>
            <w:r>
              <w:rPr>
                <w:rFonts w:hint="eastAsia" w:ascii="Times New Roman" w:hAnsi="Times New Roman" w:cs="宋体"/>
                <w:b/>
                <w:kern w:val="0"/>
                <w:sz w:val="22"/>
              </w:rPr>
              <w:t>整改完成情况</w:t>
            </w:r>
          </w:p>
        </w:tc>
        <w:tc>
          <w:tcPr>
            <w:tcW w:w="314" w:type="pct"/>
            <w:tcBorders>
              <w:top w:val="single" w:color="auto" w:sz="4" w:space="0"/>
              <w:left w:val="single" w:color="auto" w:sz="4" w:space="0"/>
              <w:bottom w:val="single" w:color="auto" w:sz="4" w:space="0"/>
              <w:right w:val="single" w:color="auto" w:sz="4" w:space="0"/>
            </w:tcBorders>
            <w:vAlign w:val="center"/>
          </w:tcPr>
          <w:p w14:paraId="37446D88">
            <w:pPr>
              <w:widowControl/>
              <w:spacing w:after="120"/>
              <w:jc w:val="center"/>
              <w:rPr>
                <w:rFonts w:ascii="Times New Roman" w:hAnsi="Times New Roman" w:cs="宋体"/>
                <w:b/>
                <w:kern w:val="0"/>
                <w:sz w:val="22"/>
              </w:rPr>
            </w:pPr>
            <w:r>
              <w:rPr>
                <w:rFonts w:hint="eastAsia" w:ascii="Times New Roman" w:hAnsi="Times New Roman" w:cs="宋体"/>
                <w:b/>
                <w:kern w:val="0"/>
                <w:sz w:val="22"/>
              </w:rPr>
              <w:t>是否完成整改</w:t>
            </w:r>
          </w:p>
        </w:tc>
      </w:tr>
      <w:tr w14:paraId="42BB6B12">
        <w:tblPrEx>
          <w:tblCellMar>
            <w:top w:w="0" w:type="dxa"/>
            <w:left w:w="108" w:type="dxa"/>
            <w:bottom w:w="0" w:type="dxa"/>
            <w:right w:w="108" w:type="dxa"/>
          </w:tblCellMar>
        </w:tblPrEx>
        <w:trPr>
          <w:trHeight w:val="4631" w:hRule="atLeast"/>
        </w:trPr>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1CFB762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4</w:t>
            </w:r>
            <w:r>
              <w:rPr>
                <w:rFonts w:ascii="Times New Roman" w:hAnsi="Times New Roman" w:eastAsia="方正仿宋_GBK" w:cs="Times New Roman"/>
                <w:color w:val="000000"/>
                <w:kern w:val="0"/>
                <w:szCs w:val="21"/>
                <w:lang w:bidi="ar"/>
              </w:rPr>
              <w:t>5</w:t>
            </w: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75F07D92">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高淳区固城湖退圩还湖工程在固城湖湿地公园国家生态保护红线违规建设网球场、步道等，占地2.31万平方米。</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60E4E37">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高淳区人民政府</w:t>
            </w: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14:paraId="0DDB5758">
            <w:pPr>
              <w:widowControl/>
              <w:jc w:val="left"/>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2024年12月底前</w:t>
            </w:r>
          </w:p>
        </w:tc>
        <w:tc>
          <w:tcPr>
            <w:tcW w:w="1272" w:type="pct"/>
            <w:tcBorders>
              <w:top w:val="single" w:color="auto" w:sz="4" w:space="0"/>
              <w:left w:val="single" w:color="auto" w:sz="4" w:space="0"/>
              <w:bottom w:val="single" w:color="auto" w:sz="4" w:space="0"/>
              <w:right w:val="single" w:color="auto" w:sz="4" w:space="0"/>
            </w:tcBorders>
            <w:shd w:val="clear" w:color="auto" w:fill="auto"/>
            <w:vAlign w:val="center"/>
          </w:tcPr>
          <w:p w14:paraId="0A1DFE7C">
            <w:pPr>
              <w:widowControl/>
              <w:jc w:val="left"/>
              <w:textAlignment w:val="center"/>
              <w:rPr>
                <w:rFonts w:hint="eastAsia"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（一）拆除地块内原有网球场地面设施，将原网球场地面改为固城湖永联圩防汛值班点及应急物资堆放点。</w:t>
            </w:r>
          </w:p>
          <w:p w14:paraId="07EA73E0">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（二）对固城湖永联圩防汛值班点、应急物资堆放点及步道进行不可避让论证，出具《固城湖退圩还湖生态工程涉及生态保护红线允许有限人为活动的论证报告》。</w:t>
            </w:r>
          </w:p>
        </w:tc>
        <w:tc>
          <w:tcPr>
            <w:tcW w:w="1786" w:type="pct"/>
            <w:tcBorders>
              <w:top w:val="single" w:color="auto" w:sz="4" w:space="0"/>
              <w:left w:val="single" w:color="auto" w:sz="4" w:space="0"/>
              <w:bottom w:val="single" w:color="auto" w:sz="4" w:space="0"/>
              <w:right w:val="single" w:color="auto" w:sz="4" w:space="0"/>
            </w:tcBorders>
            <w:shd w:val="clear" w:color="auto" w:fill="auto"/>
            <w:vAlign w:val="center"/>
          </w:tcPr>
          <w:p w14:paraId="57C120E1">
            <w:pPr>
              <w:widowControl/>
              <w:jc w:val="left"/>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地块内原有网球场地面设施已于2024年7月10日拆除，将原网球场地面改为固城湖永联圩防汛值班点及应急物资堆放点，已编制《南京市高淳区固城湖退圩还湖生态工程符合生态保护红线允许有限人为活动论证报告》且已通过专家论证，整改措施已落实；已取得《关于南京市高淳区固城湖退圩还湖生态工程符合生态保护红线内允许有限人为活动的认定意见》，已达到整改目标。</w:t>
            </w:r>
          </w:p>
        </w:tc>
        <w:tc>
          <w:tcPr>
            <w:tcW w:w="314" w:type="pct"/>
            <w:tcBorders>
              <w:top w:val="single" w:color="auto" w:sz="4" w:space="0"/>
              <w:left w:val="single" w:color="auto" w:sz="4" w:space="0"/>
              <w:bottom w:val="single" w:color="auto" w:sz="4" w:space="0"/>
              <w:right w:val="single" w:color="auto" w:sz="4" w:space="0"/>
            </w:tcBorders>
            <w:vAlign w:val="center"/>
          </w:tcPr>
          <w:p w14:paraId="271744E9">
            <w:pPr>
              <w:widowControl/>
              <w:spacing w:after="12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是</w:t>
            </w:r>
          </w:p>
        </w:tc>
      </w:tr>
    </w:tbl>
    <w:p w14:paraId="10695875">
      <w:bookmarkStart w:id="0" w:name="_GoBack"/>
      <w:bookmarkEnd w:id="0"/>
    </w:p>
    <w:sectPr>
      <w:footerReference r:id="rId3" w:type="default"/>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D861">
    <w:pPr>
      <w:pStyle w:val="3"/>
      <w:jc w:val="both"/>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851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8510"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D5DEC">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4pt;width:61.3pt;mso-position-horizontal:outside;mso-position-horizontal-relative:margin;z-index:251659264;mso-width-relative:page;mso-height-relative:page;" filled="f" stroked="f" coordsize="21600,21600" o:gfxdata="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3o8Af1AAAAAQBAAAPAAAAAAAAAAEAIAAAACIAAABkcnMvZG93bnJldi54bWxQSwEC&#10;FAAUAAAACACHTuJA46hluDECAABVBAAADgAAAAAAAAABACAAAAAjAQAAZHJzL2Uyb0RvYy54bWxQ&#10;SwUGAAAAAAYABgBZAQAAxgUAAAAA&#10;">
              <v:fill on="f" focussize="0,0"/>
              <v:stroke on="f" weight="0.5pt"/>
              <v:imagedata o:title=""/>
              <o:lock v:ext="edit" aspectratio="f"/>
              <v:textbox inset="0mm,0mm,0mm,0mm">
                <w:txbxContent>
                  <w:p w14:paraId="02BD5DEC">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2C"/>
    <w:rsid w:val="00942ECD"/>
    <w:rsid w:val="00AE4E5E"/>
    <w:rsid w:val="00C2492C"/>
    <w:rsid w:val="00ED43C8"/>
    <w:rsid w:val="02ED7EC0"/>
    <w:rsid w:val="0DB0425E"/>
    <w:rsid w:val="18E216F1"/>
    <w:rsid w:val="1E0F2BAC"/>
    <w:rsid w:val="28177609"/>
    <w:rsid w:val="2D4D7D0D"/>
    <w:rsid w:val="328B4E7C"/>
    <w:rsid w:val="43144A19"/>
    <w:rsid w:val="46A41C10"/>
    <w:rsid w:val="4B867544"/>
    <w:rsid w:val="4D7762D0"/>
    <w:rsid w:val="55FD758F"/>
    <w:rsid w:val="575B3445"/>
    <w:rsid w:val="597F22BF"/>
    <w:rsid w:val="5B1931EA"/>
    <w:rsid w:val="5C34538D"/>
    <w:rsid w:val="5FE961F5"/>
    <w:rsid w:val="612602F5"/>
    <w:rsid w:val="69F745C9"/>
    <w:rsid w:val="6B4A24D7"/>
    <w:rsid w:val="6D821D39"/>
    <w:rsid w:val="6E1409C3"/>
    <w:rsid w:val="6FDB2C3A"/>
    <w:rsid w:val="75943BB2"/>
    <w:rsid w:val="78EC72C3"/>
    <w:rsid w:val="7F98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99"/>
    <w:rPr>
      <w:rFonts w:ascii="Calibri" w:hAnsi="Calibri" w:cs="Calibri"/>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index heading"/>
    <w:basedOn w:val="1"/>
    <w:next w:val="6"/>
    <w:unhideWhenUsed/>
    <w:qFormat/>
    <w:uiPriority w:val="99"/>
    <w:pPr>
      <w:widowControl/>
      <w:spacing w:line="560" w:lineRule="exact"/>
      <w:ind w:firstLine="200" w:firstLineChars="200"/>
    </w:pPr>
    <w:rPr>
      <w:rFonts w:ascii="Cambria" w:hAnsi="Cambria" w:eastAsia="方正仿宋_GBK"/>
      <w:b/>
      <w:bCs/>
      <w:kern w:val="0"/>
      <w:sz w:val="32"/>
      <w:szCs w:val="32"/>
    </w:rPr>
  </w:style>
  <w:style w:type="paragraph" w:styleId="6">
    <w:name w:val="index 1"/>
    <w:basedOn w:val="1"/>
    <w:next w:val="1"/>
    <w:unhideWhenUsed/>
    <w:qFormat/>
    <w:uiPriority w:val="99"/>
    <w:rPr>
      <w:rFonts w:ascii="Calibri" w:hAnsi="Calibri" w:eastAsia="宋体" w:cs="Times New Roman"/>
      <w:szCs w:val="22"/>
    </w:rPr>
  </w:style>
  <w:style w:type="paragraph" w:styleId="7">
    <w:name w:val="Body Text 2"/>
    <w:basedOn w:val="1"/>
    <w:qFormat/>
    <w:uiPriority w:val="0"/>
    <w:pPr>
      <w:spacing w:line="480" w:lineRule="auto"/>
    </w:pPr>
    <w:rPr>
      <w:rFonts w:ascii="Calibri" w:hAnsi="Calibri"/>
      <w:szCs w:val="22"/>
    </w:rPr>
  </w:style>
  <w:style w:type="paragraph" w:customStyle="1" w:styleId="10">
    <w:name w:val="标题1"/>
    <w:basedOn w:val="1"/>
    <w:next w:val="1"/>
    <w:autoRedefine/>
    <w:qFormat/>
    <w:uiPriority w:val="0"/>
    <w:pPr>
      <w:tabs>
        <w:tab w:val="left" w:pos="9193"/>
        <w:tab w:val="left" w:pos="9827"/>
      </w:tabs>
      <w:spacing w:line="660" w:lineRule="exact"/>
      <w:jc w:val="center"/>
    </w:pPr>
    <w:rPr>
      <w:rFonts w:eastAsia="方正小标宋_GBK"/>
      <w:kern w:val="0"/>
      <w:sz w:val="44"/>
      <w:szCs w:val="20"/>
    </w:rPr>
  </w:style>
  <w:style w:type="paragraph" w:customStyle="1" w:styleId="11">
    <w:name w:val="标题2"/>
    <w:basedOn w:val="1"/>
    <w:next w:val="1"/>
    <w:autoRedefine/>
    <w:qFormat/>
    <w:uiPriority w:val="0"/>
    <w:pPr>
      <w:jc w:val="center"/>
    </w:pPr>
    <w:rPr>
      <w:rFonts w:eastAsia="方正楷体_GBK"/>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Words>
  <Characters>423</Characters>
  <Lines>3</Lines>
  <Paragraphs>1</Paragraphs>
  <TotalTime>0</TotalTime>
  <ScaleCrop>false</ScaleCrop>
  <LinksUpToDate>false</LinksUpToDate>
  <CharactersWithSpaces>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2025-11-17T09:28:00Z</dcterms:created>
  <dc:creator>Administrator</dc:creator>
  <cp:lastModifiedBy>糖豆</cp:lastModifiedBy>
  <dcterms:modified xsi:type="dcterms:W3CDTF">2025-11-17T09:31:07Z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eyJoZGlkIjoiZWQwNzg4NjYxMmQ2NmQ4OTI1YmY5NTc5YTU3NDFiOTQiLCJ1c2VySWQiOiI3MTM0NTI0ODkifQ==</vt:lpwstr>
  </property>
  <property fmtid="{D5CDD505-2E9C-101B-9397-08002B2CF9AE}" pid="4" name="ICV">
    <vt:lpwstr>978A7D8796034AA9970BE1A29AA3833E_12</vt:lpwstr>
  </property>
</Properties>
</file>