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F1FA">
      <w:pPr>
        <w:widowControl/>
        <w:kinsoku w:val="0"/>
        <w:autoSpaceDE w:val="0"/>
        <w:autoSpaceDN w:val="0"/>
        <w:adjustRightInd w:val="0"/>
        <w:snapToGrid w:val="0"/>
        <w:spacing w:before="113" w:line="238" w:lineRule="auto"/>
        <w:ind w:left="65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8"/>
          <w:sz w:val="36"/>
          <w:szCs w:val="36"/>
          <w:lang w:val="en-US" w:eastAsia="zh-CN"/>
        </w:rPr>
      </w:pPr>
      <w:bookmarkStart w:id="0" w:name="OLE_LINK3"/>
      <w:bookmarkStart w:id="1" w:name="OLE_LINK4"/>
      <w:r>
        <w:rPr>
          <w:rFonts w:hint="eastAsia" w:ascii="Times New Roman" w:hAnsi="Times New Roman" w:eastAsia="方正黑体_GBK" w:cs="Times New Roman"/>
          <w:snapToGrid w:val="0"/>
          <w:color w:val="000000"/>
          <w:spacing w:val="-8"/>
          <w:kern w:val="0"/>
          <w:sz w:val="31"/>
          <w:szCs w:val="31"/>
          <w:lang w:val="en-US" w:eastAsia="zh-CN"/>
        </w:rPr>
        <w:t>附件</w:t>
      </w:r>
    </w:p>
    <w:p w14:paraId="2585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9" w:lineRule="auto"/>
        <w:ind w:left="0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  <w:lang w:eastAsia="zh-CN"/>
        </w:rPr>
      </w:pPr>
      <w:bookmarkStart w:id="2" w:name="_GoBack"/>
      <w:r>
        <w:rPr>
          <w:rFonts w:hint="eastAsia" w:ascii="方正小标宋_GBK" w:hAnsi="Times New Roman" w:eastAsia="方正小标宋_GBK" w:cs="Times New Roman"/>
          <w:spacing w:val="8"/>
          <w:sz w:val="36"/>
          <w:szCs w:val="36"/>
          <w:lang w:val="en-US" w:eastAsia="zh-CN"/>
        </w:rPr>
        <w:t>高淳区</w:t>
      </w:r>
      <w:r>
        <w:rPr>
          <w:rFonts w:hint="default" w:ascii="Times New Roman" w:hAnsi="Times New Roman" w:eastAsia="方正小标宋_GBK" w:cs="Times New Roman"/>
          <w:spacing w:val="8"/>
          <w:sz w:val="36"/>
          <w:szCs w:val="36"/>
          <w:lang w:val="en-US" w:eastAsia="zh-CN"/>
        </w:rPr>
        <w:t>2026</w:t>
      </w:r>
      <w:r>
        <w:rPr>
          <w:rFonts w:hint="eastAsia" w:ascii="方正小标宋_GBK" w:hAnsi="Times New Roman" w:eastAsia="方正小标宋_GBK" w:cs="Times New Roman"/>
          <w:spacing w:val="8"/>
          <w:sz w:val="36"/>
          <w:szCs w:val="36"/>
          <w:lang w:val="en-US" w:eastAsia="zh-CN"/>
        </w:rPr>
        <w:t>年度新型农村集体经济项目入库名</w:t>
      </w:r>
      <w:r>
        <w:rPr>
          <w:rFonts w:hint="eastAsia" w:ascii="方正小标宋_GBK" w:hAnsi="Times New Roman" w:eastAsia="方正小标宋_GBK" w:cs="Times New Roman"/>
          <w:spacing w:val="8"/>
          <w:sz w:val="36"/>
          <w:szCs w:val="36"/>
          <w:lang w:eastAsia="zh-CN"/>
        </w:rPr>
        <w:t>录</w:t>
      </w:r>
    </w:p>
    <w:bookmarkEnd w:id="2"/>
    <w:p w14:paraId="089523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0"/>
        <w:jc w:val="right"/>
        <w:textAlignment w:val="auto"/>
        <w:rPr>
          <w:rFonts w:ascii="Times New Roman" w:hAnsi="Times New Roman" w:cs="Times New Roman"/>
          <w:spacing w:val="0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单位：万元、亩、人</w:t>
      </w:r>
    </w:p>
    <w:tbl>
      <w:tblPr>
        <w:tblStyle w:val="10"/>
        <w:tblW w:w="146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40"/>
        <w:gridCol w:w="555"/>
        <w:gridCol w:w="840"/>
        <w:gridCol w:w="645"/>
        <w:gridCol w:w="615"/>
        <w:gridCol w:w="645"/>
        <w:gridCol w:w="570"/>
        <w:gridCol w:w="488"/>
        <w:gridCol w:w="4617"/>
        <w:gridCol w:w="534"/>
        <w:gridCol w:w="850"/>
        <w:gridCol w:w="651"/>
        <w:gridCol w:w="690"/>
        <w:gridCol w:w="690"/>
        <w:gridCol w:w="615"/>
      </w:tblGrid>
      <w:tr w14:paraId="4320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vAlign w:val="center"/>
          </w:tcPr>
          <w:p w14:paraId="7CB41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6"/>
                <w:position w:val="2"/>
                <w:sz w:val="21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bottom w:val="nil"/>
            </w:tcBorders>
            <w:vAlign w:val="center"/>
          </w:tcPr>
          <w:p w14:paraId="77668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6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pacing w:val="4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975" w:type="dxa"/>
            <w:gridSpan w:val="8"/>
            <w:tcBorders>
              <w:top w:val="single" w:color="000000" w:sz="4" w:space="0"/>
            </w:tcBorders>
            <w:vAlign w:val="center"/>
          </w:tcPr>
          <w:p w14:paraId="3CB02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7"/>
                <w:sz w:val="21"/>
                <w:szCs w:val="21"/>
              </w:rPr>
              <w:t>拟建项目情况</w:t>
            </w:r>
          </w:p>
        </w:tc>
        <w:tc>
          <w:tcPr>
            <w:tcW w:w="4030" w:type="dxa"/>
            <w:gridSpan w:val="6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5098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8"/>
                <w:sz w:val="21"/>
                <w:szCs w:val="21"/>
              </w:rPr>
              <w:t>资金投入及构成</w:t>
            </w:r>
          </w:p>
        </w:tc>
      </w:tr>
      <w:tr w14:paraId="06DE3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center"/>
          </w:tcPr>
          <w:p w14:paraId="0FF7D4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6D5BFDC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5" w:type="dxa"/>
            <w:vMerge w:val="restart"/>
            <w:tcBorders>
              <w:bottom w:val="nil"/>
            </w:tcBorders>
            <w:vAlign w:val="center"/>
          </w:tcPr>
          <w:p w14:paraId="2E782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3"/>
                <w:sz w:val="21"/>
                <w:szCs w:val="21"/>
              </w:rPr>
              <w:t>人口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7DC09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60" w:lineRule="exact"/>
              <w:ind w:right="61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6"/>
                <w:sz w:val="21"/>
                <w:szCs w:val="21"/>
              </w:rPr>
              <w:t>上年度</w:t>
            </w:r>
            <w:r>
              <w:rPr>
                <w:rFonts w:ascii="Times New Roman" w:hAnsi="Times New Roman" w:eastAsia="方正黑体_GBK" w:cs="Times New Roman"/>
                <w:spacing w:val="7"/>
                <w:sz w:val="21"/>
                <w:szCs w:val="21"/>
              </w:rPr>
              <w:t>经营性收入</w:t>
            </w:r>
          </w:p>
        </w:tc>
        <w:tc>
          <w:tcPr>
            <w:tcW w:w="2963" w:type="dxa"/>
            <w:gridSpan w:val="5"/>
            <w:vAlign w:val="center"/>
          </w:tcPr>
          <w:p w14:paraId="70713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7"/>
                <w:sz w:val="21"/>
                <w:szCs w:val="21"/>
              </w:rPr>
              <w:t>项目类型</w:t>
            </w:r>
          </w:p>
        </w:tc>
        <w:tc>
          <w:tcPr>
            <w:tcW w:w="4617" w:type="dxa"/>
            <w:vMerge w:val="restart"/>
            <w:tcBorders>
              <w:bottom w:val="nil"/>
            </w:tcBorders>
            <w:vAlign w:val="center"/>
          </w:tcPr>
          <w:p w14:paraId="4864E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8"/>
                <w:sz w:val="21"/>
                <w:szCs w:val="21"/>
              </w:rPr>
              <w:t>项目简要描述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4A29F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exact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791C6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60" w:lineRule="exact"/>
              <w:ind w:right="86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7"/>
                <w:sz w:val="21"/>
                <w:szCs w:val="21"/>
              </w:rPr>
              <w:t>省级以上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财政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vAlign w:val="center"/>
          </w:tcPr>
          <w:p w14:paraId="705A4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60" w:lineRule="exact"/>
              <w:ind w:right="181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市县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财政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7E8D6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60" w:lineRule="exact"/>
              <w:ind w:right="240"/>
              <w:jc w:val="both"/>
              <w:textAlignment w:val="baseline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乡镇财政</w:t>
            </w:r>
            <w:r>
              <w:rPr>
                <w:rFonts w:hint="eastAsia" w:ascii="Times New Roman" w:hAnsi="Times New Roman" w:eastAsia="方正黑体_GBK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Times New Roman"/>
                <w:spacing w:val="4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58C93A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60" w:lineRule="exact"/>
              <w:ind w:left="133" w:right="111" w:hanging="2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集体资金</w:t>
            </w:r>
          </w:p>
        </w:tc>
        <w:tc>
          <w:tcPr>
            <w:tcW w:w="615" w:type="dxa"/>
            <w:vMerge w:val="restart"/>
            <w:tcBorders>
              <w:bottom w:val="nil"/>
              <w:right w:val="single" w:color="000000" w:sz="4" w:space="0"/>
            </w:tcBorders>
            <w:vAlign w:val="center"/>
          </w:tcPr>
          <w:p w14:paraId="3A4F9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其他</w:t>
            </w:r>
          </w:p>
        </w:tc>
      </w:tr>
      <w:tr w14:paraId="53509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000000" w:sz="4" w:space="0"/>
            </w:tcBorders>
          </w:tcPr>
          <w:p w14:paraId="564CADB5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 w14:paraId="7D45CA59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</w:tcPr>
          <w:p w14:paraId="08B4C522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 w14:paraId="2E121CB0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D2CA26D">
            <w:pPr>
              <w:spacing w:before="69" w:line="231" w:lineRule="auto"/>
              <w:ind w:right="141"/>
              <w:jc w:val="center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资源</w:t>
            </w:r>
            <w:r>
              <w:rPr>
                <w:rFonts w:ascii="Times New Roman" w:hAnsi="Times New Roman" w:eastAsia="方正黑体_GBK" w:cs="Times New Roman"/>
                <w:spacing w:val="5"/>
                <w:sz w:val="21"/>
                <w:szCs w:val="21"/>
              </w:rPr>
              <w:t>发包</w:t>
            </w:r>
          </w:p>
        </w:tc>
        <w:tc>
          <w:tcPr>
            <w:tcW w:w="615" w:type="dxa"/>
            <w:vAlign w:val="center"/>
          </w:tcPr>
          <w:p w14:paraId="4D456F9D">
            <w:pPr>
              <w:spacing w:before="69" w:line="231" w:lineRule="auto"/>
              <w:ind w:right="161"/>
              <w:jc w:val="center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物业</w:t>
            </w:r>
            <w:r>
              <w:rPr>
                <w:rFonts w:ascii="Times New Roman" w:hAnsi="Times New Roman" w:eastAsia="方正黑体_GBK" w:cs="Times New Roman"/>
                <w:spacing w:val="-4"/>
                <w:sz w:val="21"/>
                <w:szCs w:val="21"/>
              </w:rPr>
              <w:t>出租</w:t>
            </w:r>
          </w:p>
        </w:tc>
        <w:tc>
          <w:tcPr>
            <w:tcW w:w="645" w:type="dxa"/>
            <w:vAlign w:val="center"/>
          </w:tcPr>
          <w:p w14:paraId="6955818D">
            <w:pPr>
              <w:spacing w:before="69" w:line="231" w:lineRule="auto"/>
              <w:ind w:right="140"/>
              <w:jc w:val="center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6"/>
                <w:sz w:val="21"/>
                <w:szCs w:val="21"/>
              </w:rPr>
              <w:t>居间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服务</w:t>
            </w:r>
          </w:p>
        </w:tc>
        <w:tc>
          <w:tcPr>
            <w:tcW w:w="570" w:type="dxa"/>
            <w:vAlign w:val="center"/>
          </w:tcPr>
          <w:p w14:paraId="512E7F19">
            <w:pPr>
              <w:spacing w:before="69" w:line="231" w:lineRule="auto"/>
              <w:ind w:right="129"/>
              <w:jc w:val="center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资产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参股</w:t>
            </w:r>
          </w:p>
        </w:tc>
        <w:tc>
          <w:tcPr>
            <w:tcW w:w="488" w:type="dxa"/>
            <w:vAlign w:val="center"/>
          </w:tcPr>
          <w:p w14:paraId="7C3C667A">
            <w:pPr>
              <w:spacing w:before="231" w:line="242" w:lineRule="auto"/>
              <w:jc w:val="center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其他</w:t>
            </w:r>
          </w:p>
        </w:tc>
        <w:tc>
          <w:tcPr>
            <w:tcW w:w="4617" w:type="dxa"/>
            <w:vMerge w:val="continue"/>
            <w:tcBorders>
              <w:top w:val="nil"/>
            </w:tcBorders>
            <w:vAlign w:val="center"/>
          </w:tcPr>
          <w:p w14:paraId="147F5327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center"/>
          </w:tcPr>
          <w:p w14:paraId="392602E8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641760AC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vAlign w:val="center"/>
          </w:tcPr>
          <w:p w14:paraId="1C825995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center"/>
          </w:tcPr>
          <w:p w14:paraId="49EF23B9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center"/>
          </w:tcPr>
          <w:p w14:paraId="6D739091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 w14:paraId="735CAD7B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991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</w:tcPr>
          <w:p w14:paraId="1FEEEE1B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6B89C0D">
            <w:pPr>
              <w:spacing w:before="127" w:line="195" w:lineRule="auto"/>
              <w:ind w:left="420" w:firstLine="180" w:firstLineChars="1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</w:tcPr>
          <w:p w14:paraId="23979EC7">
            <w:pPr>
              <w:spacing w:before="127" w:line="195" w:lineRule="auto"/>
              <w:ind w:left="30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</w:tcPr>
          <w:p w14:paraId="27901695">
            <w:pPr>
              <w:spacing w:before="127" w:line="195" w:lineRule="auto"/>
              <w:ind w:firstLine="360" w:firstLineChars="2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45" w:type="dxa"/>
          </w:tcPr>
          <w:p w14:paraId="1B3CF821">
            <w:pPr>
              <w:spacing w:before="127" w:line="195" w:lineRule="auto"/>
              <w:ind w:left="297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18"/>
                <w:szCs w:val="18"/>
              </w:rPr>
              <w:t>4</w:t>
            </w:r>
          </w:p>
        </w:tc>
        <w:tc>
          <w:tcPr>
            <w:tcW w:w="615" w:type="dxa"/>
          </w:tcPr>
          <w:p w14:paraId="4670BFD2">
            <w:pPr>
              <w:spacing w:before="130" w:line="192" w:lineRule="auto"/>
              <w:ind w:left="324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645" w:type="dxa"/>
          </w:tcPr>
          <w:p w14:paraId="6D409049">
            <w:pPr>
              <w:spacing w:before="127" w:line="195" w:lineRule="auto"/>
              <w:ind w:left="303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570" w:type="dxa"/>
          </w:tcPr>
          <w:p w14:paraId="69277AFD">
            <w:pPr>
              <w:spacing w:before="130" w:line="192" w:lineRule="auto"/>
              <w:ind w:left="292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88" w:type="dxa"/>
          </w:tcPr>
          <w:p w14:paraId="4867CE77">
            <w:pPr>
              <w:spacing w:before="127" w:line="195" w:lineRule="auto"/>
              <w:ind w:left="3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617" w:type="dxa"/>
          </w:tcPr>
          <w:p w14:paraId="2A13D6E8">
            <w:pPr>
              <w:spacing w:before="127" w:line="195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534" w:type="dxa"/>
          </w:tcPr>
          <w:p w14:paraId="331350F1">
            <w:pPr>
              <w:spacing w:before="127" w:line="195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07E941C6">
            <w:pPr>
              <w:spacing w:before="127" w:line="195" w:lineRule="auto"/>
              <w:ind w:left="433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18"/>
                <w:szCs w:val="18"/>
              </w:rPr>
              <w:t>11</w:t>
            </w:r>
          </w:p>
        </w:tc>
        <w:tc>
          <w:tcPr>
            <w:tcW w:w="651" w:type="dxa"/>
          </w:tcPr>
          <w:p w14:paraId="669CAE96">
            <w:pPr>
              <w:spacing w:before="127" w:line="195" w:lineRule="auto"/>
              <w:ind w:left="316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12</w:t>
            </w:r>
          </w:p>
        </w:tc>
        <w:tc>
          <w:tcPr>
            <w:tcW w:w="690" w:type="dxa"/>
          </w:tcPr>
          <w:p w14:paraId="06B981DB">
            <w:pPr>
              <w:spacing w:before="127" w:line="195" w:lineRule="auto"/>
              <w:ind w:firstLine="328" w:firstLineChars="2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13</w:t>
            </w:r>
          </w:p>
        </w:tc>
        <w:tc>
          <w:tcPr>
            <w:tcW w:w="690" w:type="dxa"/>
          </w:tcPr>
          <w:p w14:paraId="4C1C1157">
            <w:pPr>
              <w:spacing w:before="127" w:line="195" w:lineRule="auto"/>
              <w:ind w:left="24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14</w:t>
            </w:r>
          </w:p>
        </w:tc>
        <w:tc>
          <w:tcPr>
            <w:tcW w:w="615" w:type="dxa"/>
            <w:tcBorders>
              <w:right w:val="single" w:color="000000" w:sz="4" w:space="0"/>
            </w:tcBorders>
          </w:tcPr>
          <w:p w14:paraId="040030E3">
            <w:pPr>
              <w:spacing w:before="127" w:line="195" w:lineRule="auto"/>
              <w:ind w:left="24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15</w:t>
            </w:r>
          </w:p>
        </w:tc>
      </w:tr>
      <w:tr w14:paraId="681B2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54405DE5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09D1BE6E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砖墙镇大涵村惠农服务中心建设项目</w:t>
            </w:r>
          </w:p>
        </w:tc>
        <w:tc>
          <w:tcPr>
            <w:tcW w:w="555" w:type="dxa"/>
            <w:vAlign w:val="center"/>
          </w:tcPr>
          <w:p w14:paraId="6EF00DF1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2477</w:t>
            </w:r>
          </w:p>
        </w:tc>
        <w:tc>
          <w:tcPr>
            <w:tcW w:w="840" w:type="dxa"/>
            <w:vAlign w:val="center"/>
          </w:tcPr>
          <w:p w14:paraId="2E829A09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174.76</w:t>
            </w:r>
          </w:p>
        </w:tc>
        <w:tc>
          <w:tcPr>
            <w:tcW w:w="645" w:type="dxa"/>
            <w:vAlign w:val="center"/>
          </w:tcPr>
          <w:p w14:paraId="340BC48A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583EABB1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21D9360D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7B7CE3B3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725D87BF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4FADA85F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200万元，用于建设大涵村惠农服务中心（含果蔬、生鲜冷冻、农产品选品展示、特色农副产品电商直播平台）一座、进行场地平整、装修改造、冷库建设等基础设施、购置展销货架及电商专用设施。建成后，拟对外租赁，用于大涵村农业产业园瓜果、蔬菜、生鲜保鲜冷冻等储存销售展销一体的配套平台。预计年增村集体收入约15万元。</w:t>
            </w:r>
          </w:p>
        </w:tc>
        <w:tc>
          <w:tcPr>
            <w:tcW w:w="534" w:type="dxa"/>
            <w:vAlign w:val="center"/>
          </w:tcPr>
          <w:p w14:paraId="15B83C68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850" w:type="dxa"/>
            <w:vAlign w:val="center"/>
          </w:tcPr>
          <w:p w14:paraId="638355B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3A81074B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9277134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A07F4CB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2B964A7D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 w14:paraId="2BE17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614B8CD5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 w14:paraId="3BC2DA85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阳江镇平干圩村一村一品电商服务中心项目</w:t>
            </w:r>
          </w:p>
        </w:tc>
        <w:tc>
          <w:tcPr>
            <w:tcW w:w="555" w:type="dxa"/>
            <w:vAlign w:val="center"/>
          </w:tcPr>
          <w:p w14:paraId="58536D47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5358</w:t>
            </w:r>
          </w:p>
        </w:tc>
        <w:tc>
          <w:tcPr>
            <w:tcW w:w="840" w:type="dxa"/>
            <w:vAlign w:val="center"/>
          </w:tcPr>
          <w:p w14:paraId="5BD0FE0B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269.31</w:t>
            </w:r>
          </w:p>
        </w:tc>
        <w:tc>
          <w:tcPr>
            <w:tcW w:w="645" w:type="dxa"/>
            <w:vAlign w:val="center"/>
          </w:tcPr>
          <w:p w14:paraId="6236B8BC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6DDE9472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332020D4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225B3EF8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60FBD65E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10C32131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173万元，盘活利用闲置土地，新建仓储中心，建筑面积为地上二层约600平方米及地下一层约300平方米建设，共计约900平方米。建成后，一楼制成商业门面房出租，收取租金；二楼建设展销中心对本镇范围内商品进行展销及计划建设电商、直播基地等用于商品的推广；地下室做成仓库对外出租。依托项目基地的建成，吸引更多的类似“蟹小妹”、“沈家蟹”等更多电商进驻，促进老百姓增收创业。预计每年为村集体增收约8-10万元。</w:t>
            </w:r>
          </w:p>
        </w:tc>
        <w:tc>
          <w:tcPr>
            <w:tcW w:w="534" w:type="dxa"/>
            <w:vAlign w:val="center"/>
          </w:tcPr>
          <w:p w14:paraId="1E30B551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173</w:t>
            </w:r>
          </w:p>
        </w:tc>
        <w:tc>
          <w:tcPr>
            <w:tcW w:w="850" w:type="dxa"/>
            <w:vAlign w:val="center"/>
          </w:tcPr>
          <w:p w14:paraId="0BD1976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1EA4FE9A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3D1B3EF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43B18CA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3436E5AA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 w14:paraId="3E861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41BE68A6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40" w:type="dxa"/>
            <w:vAlign w:val="center"/>
          </w:tcPr>
          <w:p w14:paraId="73E99C4C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古柏街道凤柏村商用门面房购置项目</w:t>
            </w:r>
          </w:p>
        </w:tc>
        <w:tc>
          <w:tcPr>
            <w:tcW w:w="555" w:type="dxa"/>
            <w:vAlign w:val="center"/>
          </w:tcPr>
          <w:p w14:paraId="226AD079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4468</w:t>
            </w:r>
          </w:p>
        </w:tc>
        <w:tc>
          <w:tcPr>
            <w:tcW w:w="840" w:type="dxa"/>
            <w:vAlign w:val="center"/>
          </w:tcPr>
          <w:p w14:paraId="56AC8134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222.2</w:t>
            </w:r>
          </w:p>
        </w:tc>
        <w:tc>
          <w:tcPr>
            <w:tcW w:w="645" w:type="dxa"/>
            <w:vAlign w:val="center"/>
          </w:tcPr>
          <w:p w14:paraId="59BF1D1C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62189F08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4D9D66EB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0496A125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0C2748AF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6D61A604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200万元，购置高淳经济开发区茅山路门面房一间，面积约240平方米。对购置的商用门面房，村股份经济合作社将以租赁的方式进行经营管理。项目实施后，产权和收益权归村所有，由村进行对外出租，预计可实现村集体年收入10万元左右。</w:t>
            </w:r>
          </w:p>
        </w:tc>
        <w:tc>
          <w:tcPr>
            <w:tcW w:w="534" w:type="dxa"/>
            <w:vAlign w:val="center"/>
          </w:tcPr>
          <w:p w14:paraId="298B3E24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850" w:type="dxa"/>
            <w:vAlign w:val="center"/>
          </w:tcPr>
          <w:p w14:paraId="567D44EC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7F0B8306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EF9EFE7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F7CBAB3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5C73D818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 w14:paraId="3EC8D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4093AA3C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 w14:paraId="25FFC3C3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古柏街道凤袁村创意休闲农业项目</w:t>
            </w:r>
          </w:p>
        </w:tc>
        <w:tc>
          <w:tcPr>
            <w:tcW w:w="555" w:type="dxa"/>
            <w:vAlign w:val="center"/>
          </w:tcPr>
          <w:p w14:paraId="2C5709F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4268</w:t>
            </w:r>
          </w:p>
        </w:tc>
        <w:tc>
          <w:tcPr>
            <w:tcW w:w="840" w:type="dxa"/>
            <w:vAlign w:val="center"/>
          </w:tcPr>
          <w:p w14:paraId="667C01A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257.04</w:t>
            </w:r>
          </w:p>
        </w:tc>
        <w:tc>
          <w:tcPr>
            <w:tcW w:w="645" w:type="dxa"/>
            <w:vAlign w:val="center"/>
          </w:tcPr>
          <w:p w14:paraId="3ADAAC09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6521690F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2825A65C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0F8D38DC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1FC1A371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597276A1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170万元，用于水域设施（垂钓池、嬉水区）及配套管网、共享菜园、露营地、大锅灶等场景建设与设备采购。项目旨在完善基础设施，打造1-2个网红打卡点初步引流，逐步形成文旅产业链。建成后，通过共享菜地认领年费、蔬果采摘费、垂钓/嬉水/大锅灶体验费，家庭套票、会员年卡销售，以及露营（烧烤）场地费、农产品销售等增加村集体收入。预计每年可为村集体增收10-15万元。</w:t>
            </w:r>
          </w:p>
        </w:tc>
        <w:tc>
          <w:tcPr>
            <w:tcW w:w="534" w:type="dxa"/>
            <w:vAlign w:val="center"/>
          </w:tcPr>
          <w:p w14:paraId="77E77669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850" w:type="dxa"/>
            <w:vAlign w:val="center"/>
          </w:tcPr>
          <w:p w14:paraId="16C00395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5A53BC9D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07BF883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EAB1F45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424890EC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 w14:paraId="381AC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4908D7DB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 w14:paraId="3F0BD924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漆桥街道中心村茶叶加工厂建设项目</w:t>
            </w:r>
          </w:p>
        </w:tc>
        <w:tc>
          <w:tcPr>
            <w:tcW w:w="555" w:type="dxa"/>
            <w:vAlign w:val="center"/>
          </w:tcPr>
          <w:p w14:paraId="52AC0907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2489</w:t>
            </w:r>
          </w:p>
        </w:tc>
        <w:tc>
          <w:tcPr>
            <w:tcW w:w="840" w:type="dxa"/>
            <w:vAlign w:val="center"/>
          </w:tcPr>
          <w:p w14:paraId="6A24648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222.07</w:t>
            </w:r>
          </w:p>
        </w:tc>
        <w:tc>
          <w:tcPr>
            <w:tcW w:w="645" w:type="dxa"/>
            <w:vAlign w:val="center"/>
          </w:tcPr>
          <w:p w14:paraId="045EC86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6179FDDE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32B5F5FF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7296C6C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59F655AD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5383E9C1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150万元，用于拟建设茶叶加工厂约500平方米，购置茶叶加工设备设施25台,打造从采摘到加工、销售、观光等功能齐全的特色茶园基地。,其中:用于建设厂房面积约500平方米,投资约90万元;建筑装饰约20万元；茶叶加工设备设施: 杀青理条机6台、摊青笼12台、烘干机2台、色选机1台、提升风选机1台、自动包装机1台、自动封口机1台、金陵春机械1台，共投资约40万元。建成后，拟对外出租，每年增加村集体收入约10万元，每年可吸纳剩余劳动力20余人在项目区务工，每年村民新增劳务收入15万元左右。</w:t>
            </w:r>
          </w:p>
        </w:tc>
        <w:tc>
          <w:tcPr>
            <w:tcW w:w="534" w:type="dxa"/>
            <w:vAlign w:val="center"/>
          </w:tcPr>
          <w:p w14:paraId="0984AE13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850" w:type="dxa"/>
            <w:vAlign w:val="center"/>
          </w:tcPr>
          <w:p w14:paraId="1AFF829E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57D36F61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51049A3D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30811D7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1CBB5472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 w14:paraId="1CF60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6B9D1686">
            <w:pPr>
              <w:pStyle w:val="11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40" w:type="dxa"/>
            <w:vAlign w:val="center"/>
          </w:tcPr>
          <w:p w14:paraId="0556D15C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固城街道花山村原蒋山村委办公房改建工程项目</w:t>
            </w:r>
          </w:p>
        </w:tc>
        <w:tc>
          <w:tcPr>
            <w:tcW w:w="555" w:type="dxa"/>
            <w:vAlign w:val="center"/>
          </w:tcPr>
          <w:p w14:paraId="23775087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3849</w:t>
            </w:r>
          </w:p>
        </w:tc>
        <w:tc>
          <w:tcPr>
            <w:tcW w:w="840" w:type="dxa"/>
            <w:vAlign w:val="center"/>
          </w:tcPr>
          <w:p w14:paraId="62033C8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382.84</w:t>
            </w:r>
          </w:p>
        </w:tc>
        <w:tc>
          <w:tcPr>
            <w:tcW w:w="645" w:type="dxa"/>
            <w:vAlign w:val="center"/>
          </w:tcPr>
          <w:p w14:paraId="39946E54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5A46894A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005A5281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108550C8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461CE99A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1EA8968D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180万元，对墙体结构简单（开斗砌筑），年代已久的原蒋山村委办公房500余平方进行改建，改建房屋为钢筋混凝土结构，室外配套辅助建设，项目建成后计划用于发展乡村振兴文旅产业和招商引资企业租用，每年可增加村集体收入约10万元。</w:t>
            </w:r>
          </w:p>
        </w:tc>
        <w:tc>
          <w:tcPr>
            <w:tcW w:w="534" w:type="dxa"/>
            <w:vAlign w:val="center"/>
          </w:tcPr>
          <w:p w14:paraId="14C9B21B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850" w:type="dxa"/>
            <w:vAlign w:val="center"/>
          </w:tcPr>
          <w:p w14:paraId="7130ED25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52CD9194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830CFCB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AD04354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57025971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 w14:paraId="5AB44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78F30FA4">
            <w:pPr>
              <w:pStyle w:val="11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40" w:type="dxa"/>
            <w:vAlign w:val="center"/>
          </w:tcPr>
          <w:p w14:paraId="4A1E4AE0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固城街道固城村跃进圩老办公房及仓库改造项目</w:t>
            </w:r>
          </w:p>
        </w:tc>
        <w:tc>
          <w:tcPr>
            <w:tcW w:w="555" w:type="dxa"/>
            <w:vAlign w:val="center"/>
          </w:tcPr>
          <w:p w14:paraId="6B80F814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4468</w:t>
            </w:r>
          </w:p>
        </w:tc>
        <w:tc>
          <w:tcPr>
            <w:tcW w:w="840" w:type="dxa"/>
            <w:vAlign w:val="center"/>
          </w:tcPr>
          <w:p w14:paraId="0BF26102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216.65</w:t>
            </w:r>
          </w:p>
        </w:tc>
        <w:tc>
          <w:tcPr>
            <w:tcW w:w="645" w:type="dxa"/>
            <w:vAlign w:val="center"/>
          </w:tcPr>
          <w:p w14:paraId="58D7099E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15165784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61CA274C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58778B6F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02B1A80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572D9E44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172万元，对年久失修的老跃进圩办公房及仓库422平方进行改造，改造房屋为钢筋混凝土结构，室外场地约600平方进行浇筑，新建围墙约60米，项目建成后整体出租给招商引资企业，每年增加村集体收入约10-12万元。</w:t>
            </w:r>
          </w:p>
        </w:tc>
        <w:tc>
          <w:tcPr>
            <w:tcW w:w="534" w:type="dxa"/>
            <w:vAlign w:val="center"/>
          </w:tcPr>
          <w:p w14:paraId="32996CB3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172</w:t>
            </w:r>
          </w:p>
        </w:tc>
        <w:tc>
          <w:tcPr>
            <w:tcW w:w="850" w:type="dxa"/>
            <w:vAlign w:val="center"/>
          </w:tcPr>
          <w:p w14:paraId="71D613DD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71BF8D5B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01B2329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ABF2946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09D12E25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 w14:paraId="12D24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40C70ED2">
            <w:pPr>
              <w:pStyle w:val="11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40" w:type="dxa"/>
            <w:vAlign w:val="center"/>
          </w:tcPr>
          <w:p w14:paraId="1F39608C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东坝街道青山村厂房建设与闲置资产改造项目</w:t>
            </w:r>
          </w:p>
        </w:tc>
        <w:tc>
          <w:tcPr>
            <w:tcW w:w="555" w:type="dxa"/>
            <w:vAlign w:val="center"/>
          </w:tcPr>
          <w:p w14:paraId="7BD42A00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4654</w:t>
            </w:r>
          </w:p>
        </w:tc>
        <w:tc>
          <w:tcPr>
            <w:tcW w:w="840" w:type="dxa"/>
            <w:vAlign w:val="center"/>
          </w:tcPr>
          <w:p w14:paraId="3E1AC702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200.64</w:t>
            </w:r>
          </w:p>
        </w:tc>
        <w:tc>
          <w:tcPr>
            <w:tcW w:w="645" w:type="dxa"/>
            <w:vAlign w:val="center"/>
          </w:tcPr>
          <w:p w14:paraId="3ABD4EB2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02BFCC03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6B2BBB9F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37CB93B4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242EA692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0AE81557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200万元，拟对原青山医院危房拆除重建二期厂房，建成后用于租赁，预计可增加村集体收入约7万多元；原建设小学场地建设、操作车间装修、设备采购等，建成后用于花青素玉米产品的烘干、包装、储备等，预计可增加村集体收入约5万元。预计每年为村集体增加收入共约12万元。</w:t>
            </w:r>
          </w:p>
        </w:tc>
        <w:tc>
          <w:tcPr>
            <w:tcW w:w="534" w:type="dxa"/>
            <w:vAlign w:val="center"/>
          </w:tcPr>
          <w:p w14:paraId="7DDED2BB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850" w:type="dxa"/>
            <w:vAlign w:val="center"/>
          </w:tcPr>
          <w:p w14:paraId="34AC6673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0B042316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2672797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D6D42D5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2D3C6763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 w14:paraId="13F75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2C198AC8">
            <w:pPr>
              <w:pStyle w:val="11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40" w:type="dxa"/>
            <w:vAlign w:val="center"/>
          </w:tcPr>
          <w:p w14:paraId="6E2F3429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桠溪街道桠溪村钢结构厂房建设项目</w:t>
            </w:r>
          </w:p>
        </w:tc>
        <w:tc>
          <w:tcPr>
            <w:tcW w:w="555" w:type="dxa"/>
            <w:vAlign w:val="center"/>
          </w:tcPr>
          <w:p w14:paraId="7EE8C841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7497</w:t>
            </w:r>
          </w:p>
        </w:tc>
        <w:tc>
          <w:tcPr>
            <w:tcW w:w="840" w:type="dxa"/>
            <w:vAlign w:val="center"/>
          </w:tcPr>
          <w:p w14:paraId="1CF447E2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419.07</w:t>
            </w:r>
          </w:p>
        </w:tc>
        <w:tc>
          <w:tcPr>
            <w:tcW w:w="645" w:type="dxa"/>
            <w:vAlign w:val="center"/>
          </w:tcPr>
          <w:p w14:paraId="75F62962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09175D6A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45" w:type="dxa"/>
            <w:vAlign w:val="center"/>
          </w:tcPr>
          <w:p w14:paraId="53B9645F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3E524196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35BE29AF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617" w:type="dxa"/>
            <w:vAlign w:val="center"/>
          </w:tcPr>
          <w:p w14:paraId="791B2968">
            <w:pPr>
              <w:pStyle w:val="11"/>
              <w:jc w:val="left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计划总投资约200万元，在村集体规划用地建设约1500㎡钢结构厂房，配套场地硬化、水电、消防等附属工程，打造中小企业标准租赁厂房。采用“村集体自主建设+对外租赁”模式，将建成后的钢结构厂房出租给符合环保、产业政策的中小企业，产权和收益权归村集体，助力村集体与村民增收，预计每年为村集体增收约30万元。</w:t>
            </w:r>
          </w:p>
        </w:tc>
        <w:tc>
          <w:tcPr>
            <w:tcW w:w="534" w:type="dxa"/>
            <w:vAlign w:val="center"/>
          </w:tcPr>
          <w:p w14:paraId="78276A51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850" w:type="dxa"/>
            <w:vAlign w:val="center"/>
          </w:tcPr>
          <w:p w14:paraId="5EA15F34">
            <w:pPr>
              <w:pStyle w:val="11"/>
              <w:jc w:val="center"/>
              <w:rPr>
                <w:rFonts w:hint="default" w:ascii="Times New Roman" w:hAnsi="Times New Roman" w:cs="Times New Roman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79ADA2E0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DC9E48E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4D080A8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vAlign w:val="center"/>
          </w:tcPr>
          <w:p w14:paraId="70BA48E0">
            <w:pPr>
              <w:pStyle w:val="11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</w:tbl>
    <w:p w14:paraId="1A1A5E91">
      <w:pPr>
        <w:pStyle w:val="2"/>
        <w:jc w:val="left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填报说明：1.4-8</w:t>
      </w:r>
      <w:r>
        <w:rPr>
          <w:rFonts w:ascii="Times New Roman" w:hAnsi="Times New Roman" w:eastAsia="仿宋_GB2312" w:cs="Times New Roman"/>
          <w:b w:val="0"/>
          <w:bCs w:val="0"/>
          <w:spacing w:val="23"/>
          <w:w w:val="101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列请在相应项目类型下打“√”</w:t>
      </w:r>
      <w:r>
        <w:rPr>
          <w:rFonts w:ascii="Times New Roman" w:hAnsi="Times New Roman" w:eastAsia="仿宋_GB2312" w:cs="Times New Roman"/>
          <w:b w:val="0"/>
          <w:bCs w:val="0"/>
          <w:spacing w:val="-16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;</w:t>
      </w:r>
      <w:r>
        <w:rPr>
          <w:rFonts w:ascii="Times New Roman" w:hAnsi="Times New Roman" w:eastAsia="仿宋_GB2312" w:cs="Times New Roman"/>
          <w:b w:val="0"/>
          <w:bCs w:val="0"/>
          <w:spacing w:val="34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2.10=</w:t>
      </w:r>
      <w:r>
        <w:rPr>
          <w:rFonts w:ascii="Times New Roman" w:hAnsi="Times New Roman" w:eastAsia="仿宋_GB2312" w:cs="Times New Roman"/>
          <w:b w:val="0"/>
          <w:bCs w:val="0"/>
          <w:spacing w:val="-25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11+12+13+14+15；3.填写数字部分请注意单位要求；4.表格不够</w:t>
      </w:r>
      <w:r>
        <w:rPr>
          <w:rFonts w:ascii="Times New Roman" w:hAnsi="Times New Roman" w:eastAsia="仿宋_GB2312" w:cs="Times New Roman"/>
          <w:b w:val="0"/>
          <w:bCs w:val="0"/>
          <w:spacing w:val="5"/>
          <w:sz w:val="21"/>
          <w:szCs w:val="20"/>
          <w:lang w:eastAsia="zh-CN"/>
        </w:rPr>
        <w:t>可另附页；5.经营性收入包括经营</w:t>
      </w:r>
      <w:r>
        <w:rPr>
          <w:rFonts w:ascii="Times New Roman" w:hAnsi="Times New Roman" w:eastAsia="仿宋_GB2312" w:cs="Times New Roman"/>
          <w:b w:val="0"/>
          <w:bCs w:val="0"/>
          <w:spacing w:val="9"/>
          <w:sz w:val="21"/>
          <w:szCs w:val="20"/>
          <w:lang w:eastAsia="zh-CN"/>
        </w:rPr>
        <w:t>收入、发包及上交收入、投资收益和其他收入。其中经营收入指村集体进行生产、服务等经营活动取得的收入</w:t>
      </w:r>
      <w:r>
        <w:rPr>
          <w:rFonts w:ascii="Times New Roman" w:hAnsi="Times New Roman" w:eastAsia="仿宋_GB2312" w:cs="Times New Roman"/>
          <w:b w:val="0"/>
          <w:bCs w:val="0"/>
          <w:spacing w:val="-37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9"/>
          <w:sz w:val="21"/>
          <w:szCs w:val="20"/>
          <w:lang w:eastAsia="zh-CN"/>
        </w:rPr>
        <w:t>；发包及上交收入指农户和承包单位因</w:t>
      </w:r>
      <w:r>
        <w:rPr>
          <w:rFonts w:ascii="Times New Roman" w:hAnsi="Times New Roman" w:eastAsia="仿宋_GB2312" w:cs="Times New Roman"/>
          <w:b w:val="0"/>
          <w:bCs w:val="0"/>
          <w:spacing w:val="10"/>
          <w:sz w:val="21"/>
          <w:szCs w:val="20"/>
          <w:lang w:eastAsia="zh-CN"/>
        </w:rPr>
        <w:t>承包集体耕地、水面等集体资源上交的承包金及村（组）办企业上交的利润；投资收益指村集体对外投资取得的收益或</w:t>
      </w:r>
      <w:r>
        <w:rPr>
          <w:rFonts w:ascii="Times New Roman" w:hAnsi="Times New Roman" w:eastAsia="仿宋_GB2312" w:cs="Times New Roman"/>
          <w:b w:val="0"/>
          <w:bCs w:val="0"/>
          <w:spacing w:val="9"/>
          <w:sz w:val="21"/>
          <w:szCs w:val="20"/>
          <w:lang w:eastAsia="zh-CN"/>
        </w:rPr>
        <w:t>发生的损失；其他收入指村集体除经营收入、发包及上交收入、投资收益、补助收入以外的收入。</w:t>
      </w:r>
      <w:bookmarkEnd w:id="0"/>
      <w:bookmarkEnd w:id="1"/>
    </w:p>
    <w:p w14:paraId="71C9116E">
      <w:pPr>
        <w:pStyle w:val="2"/>
        <w:jc w:val="left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FE4C2E7">
      <w:pP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8E623C6">
      <w:pPr>
        <w:rPr>
          <w:rFonts w:hint="default"/>
        </w:rPr>
      </w:pPr>
    </w:p>
    <w:sectPr>
      <w:footerReference r:id="rId3" w:type="default"/>
      <w:type w:val="continuous"/>
      <w:pgSz w:w="16838" w:h="11906" w:orient="landscape"/>
      <w:pgMar w:top="612" w:right="1440" w:bottom="442" w:left="1440" w:header="851" w:footer="113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D77B">
    <w:pPr>
      <w:spacing w:line="181" w:lineRule="auto"/>
      <w:jc w:val="center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VjNmE1M2Y3ZDFhN2YzM2JkYTgxMjljNTFmNzYifQ=="/>
  </w:docVars>
  <w:rsids>
    <w:rsidRoot w:val="7F027EC3"/>
    <w:rsid w:val="01801B84"/>
    <w:rsid w:val="05484AEB"/>
    <w:rsid w:val="064C314F"/>
    <w:rsid w:val="06C440A6"/>
    <w:rsid w:val="07190BE4"/>
    <w:rsid w:val="07921A92"/>
    <w:rsid w:val="145F6C77"/>
    <w:rsid w:val="14A35211"/>
    <w:rsid w:val="1CD12CF5"/>
    <w:rsid w:val="1D9B546D"/>
    <w:rsid w:val="1FA068C9"/>
    <w:rsid w:val="24182DC7"/>
    <w:rsid w:val="358E5CB8"/>
    <w:rsid w:val="40FE4FC8"/>
    <w:rsid w:val="51A61359"/>
    <w:rsid w:val="5EA276E9"/>
    <w:rsid w:val="68696814"/>
    <w:rsid w:val="695F395C"/>
    <w:rsid w:val="6D662890"/>
    <w:rsid w:val="6D7A23FA"/>
    <w:rsid w:val="6DC04A50"/>
    <w:rsid w:val="705B51C4"/>
    <w:rsid w:val="71FB1751"/>
    <w:rsid w:val="778F1D25"/>
    <w:rsid w:val="7F0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Body Text"/>
    <w:basedOn w:val="1"/>
    <w:autoRedefine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2219</Words>
  <Characters>2441</Characters>
  <Lines>0</Lines>
  <Paragraphs>0</Paragraphs>
  <TotalTime>181</TotalTime>
  <ScaleCrop>false</ScaleCrop>
  <LinksUpToDate>false</LinksUpToDate>
  <CharactersWithSpaces>2494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2024-12-11T01:40:00Z</dcterms:created>
  <dc:creator>崇金星</dc:creator>
  <cp:lastModifiedBy>烟火里的尘埃</cp:lastModifiedBy>
  <cp:lastPrinted>2026-01-04T03:19:00Z</cp:lastPrinted>
  <dcterms:modified xsi:type="dcterms:W3CDTF">2026-01-04T09:12:00Z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4717E291E2B44BE6B7DF96F55E06A1B7_13</vt:lpwstr>
  </property>
  <property fmtid="{D5CDD505-2E9C-101B-9397-08002B2CF9AE}" pid="4" name="KSOTemplateDocerSaveRecord">
    <vt:lpwstr>eyJoZGlkIjoiMWUwNzhiOWFmYzAxZWFiZjVkNTFiZDAzNjMzY2Q2YTgiLCJ1c2VySWQiOiI0MTczMDc5ODYifQ==</vt:lpwstr>
  </property>
</Properties>
</file>