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关于对南京金牛机械制造股份有限公司新能源汽车冷却泵转子研发生产项目环境影响报告表的审批意见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8</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南京金牛机械制造股份有限公司：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你公司报送的《南京金牛机械制造股份有限公司新能源汽车冷却泵转子研发生产项目环境影响报告表》（以下简称报告表）已收悉，经研究，形成如下审批意见：</w:t>
      </w:r>
    </w:p>
    <w:p w14:paraId="4B0ECF42">
      <w:pPr>
        <w:pStyle w:val="29"/>
        <w:spacing w:line="360" w:lineRule="auto"/>
        <w:ind w:firstLine="560" w:firstLineChars="200"/>
        <w:rPr>
          <w:rFonts w:hint="eastAsia" w:ascii="方正仿宋_GBK" w:hAnsi="Times New Roman" w:eastAsia="方正仿宋_GBK" w:cs="Times New Roman"/>
          <w:kern w:val="2"/>
          <w:sz w:val="28"/>
          <w:szCs w:val="28"/>
          <w:lang w:val="en-US" w:eastAsia="zh-CN" w:bidi="ar-SA"/>
        </w:rPr>
      </w:pPr>
      <w:r>
        <w:rPr>
          <w:rFonts w:hint="eastAsia" w:ascii="方正仿宋_GBK" w:hAnsi="Times New Roman" w:eastAsia="方正仿宋_GBK" w:cs="Times New Roman"/>
          <w:kern w:val="2"/>
          <w:sz w:val="28"/>
          <w:szCs w:val="28"/>
          <w:lang w:val="en-US" w:eastAsia="zh-CN" w:bidi="ar-SA"/>
        </w:rPr>
        <w:t>一、根据申报，项目位于</w:t>
      </w:r>
      <w:r>
        <w:rPr>
          <w:rFonts w:hint="default" w:ascii="方正仿宋_GBK" w:hAnsi="Times New Roman" w:eastAsia="方正仿宋_GBK" w:cs="Times New Roman"/>
          <w:kern w:val="2"/>
          <w:sz w:val="28"/>
          <w:szCs w:val="28"/>
          <w:lang w:val="en-US" w:eastAsia="zh-CN" w:bidi="ar-SA"/>
        </w:rPr>
        <w:t>江苏省南京市高淳区经济开发区机油泵产业园以东、茅山路以南、花园大道以西、双高路以北地块</w:t>
      </w:r>
      <w:r>
        <w:rPr>
          <w:rFonts w:hint="eastAsia" w:ascii="方正仿宋_GBK" w:hAnsi="Times New Roman" w:eastAsia="方正仿宋_GBK" w:cs="Times New Roman"/>
          <w:kern w:val="2"/>
          <w:sz w:val="28"/>
          <w:szCs w:val="28"/>
          <w:lang w:val="en-US" w:eastAsia="zh-CN" w:bidi="ar-SA"/>
        </w:rPr>
        <w:t>。该项目占地面积约16亩，新建6条新能源汽车冷却泵转子生产加工线，购置网带炉、自动机械压机、框架式自动液压机、高精度数控车床、高精度立式双端面磨床等设备45台套。本项目产品为新能源汽车冷却泵转子。项目竣工后，形成年产1200万套转子生产能力。</w:t>
      </w:r>
      <w:r>
        <w:rPr>
          <w:rFonts w:hint="default" w:ascii="方正仿宋_GBK" w:hAnsi="Times New Roman" w:eastAsia="方正仿宋_GBK" w:cs="Times New Roman"/>
          <w:kern w:val="2"/>
          <w:sz w:val="28"/>
          <w:szCs w:val="28"/>
          <w:lang w:val="en-US" w:eastAsia="zh-CN" w:bidi="ar-SA"/>
        </w:rPr>
        <w:t>总投资</w:t>
      </w:r>
      <w:r>
        <w:rPr>
          <w:rFonts w:hint="eastAsia" w:ascii="方正仿宋_GBK" w:hAnsi="Times New Roman" w:eastAsia="方正仿宋_GBK" w:cs="Times New Roman"/>
          <w:kern w:val="2"/>
          <w:sz w:val="28"/>
          <w:szCs w:val="28"/>
          <w:lang w:val="en-US" w:eastAsia="zh-CN" w:bidi="ar-SA"/>
        </w:rPr>
        <w:t>25000万元，其中环保投资50万元。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numPr>
          <w:ilvl w:val="0"/>
          <w:numId w:val="0"/>
        </w:numPr>
        <w:snapToGrid w:val="0"/>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w:t>
      </w:r>
      <w:r>
        <w:rPr>
          <w:rFonts w:hint="eastAsia" w:ascii="方正仿宋_GBK" w:eastAsia="方正仿宋_GBK" w:cs="Times New Roman"/>
          <w:sz w:val="28"/>
          <w:szCs w:val="28"/>
          <w:lang w:val="en-US" w:eastAsia="zh-CN"/>
        </w:rPr>
        <w:t>项目</w:t>
      </w:r>
      <w:r>
        <w:rPr>
          <w:rFonts w:hint="default" w:ascii="方正仿宋_GBK" w:hAnsi="Times New Roman" w:eastAsia="方正仿宋_GBK" w:cs="Times New Roman"/>
          <w:sz w:val="28"/>
          <w:szCs w:val="28"/>
          <w:lang w:val="en-US" w:eastAsia="zh-CN"/>
        </w:rPr>
        <w:t>生活污水经化粪池收集处理后与经隔油沉淀系统处理的清洗废水共同通过污水排放口接管至南京荣泰污水处理有限公司</w:t>
      </w:r>
      <w:r>
        <w:rPr>
          <w:rFonts w:hint="eastAsia" w:ascii="方正仿宋_GBK" w:hAnsi="Times New Roman" w:eastAsia="方正仿宋_GBK" w:cs="Times New Roman"/>
          <w:sz w:val="28"/>
          <w:szCs w:val="28"/>
          <w:lang w:val="en-US" w:eastAsia="zh-CN"/>
        </w:rPr>
        <w:t>处理。废水中污染物接管排放标准执行</w:t>
      </w:r>
      <w:r>
        <w:rPr>
          <w:rFonts w:hint="default" w:ascii="方正仿宋_GBK" w:hAnsi="Times New Roman" w:eastAsia="方正仿宋_GBK" w:cs="Times New Roman"/>
          <w:sz w:val="28"/>
          <w:szCs w:val="28"/>
          <w:lang w:val="en-US" w:eastAsia="zh-CN"/>
        </w:rPr>
        <w:t>南京荣泰污水处理有限公司</w:t>
      </w:r>
      <w:r>
        <w:rPr>
          <w:rFonts w:hint="eastAsia" w:ascii="方正仿宋_GBK" w:hAnsi="Times New Roman" w:eastAsia="方正仿宋_GBK" w:cs="Times New Roman"/>
          <w:sz w:val="28"/>
          <w:szCs w:val="28"/>
          <w:lang w:val="en-US" w:eastAsia="zh-CN"/>
        </w:rPr>
        <w:t>的接管标准限值要求，即《污水综合排放标准》</w:t>
      </w:r>
      <w:r>
        <w:rPr>
          <w:rFonts w:hint="default" w:ascii="方正仿宋_GBK" w:hAnsi="Times New Roman" w:eastAsia="方正仿宋_GBK" w:cs="Times New Roman"/>
          <w:sz w:val="28"/>
          <w:szCs w:val="28"/>
          <w:lang w:val="en-US" w:eastAsia="zh-CN"/>
        </w:rPr>
        <w:t>（GB897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4E83A0FD">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w:t>
      </w:r>
      <w:r>
        <w:rPr>
          <w:rFonts w:hint="eastAsia" w:ascii="方正仿宋_GBK" w:eastAsia="方正仿宋_GBK" w:cs="Times New Roman"/>
          <w:sz w:val="28"/>
          <w:szCs w:val="28"/>
          <w:lang w:val="en-US" w:eastAsia="zh-CN"/>
        </w:rPr>
        <w:t>项目中</w:t>
      </w:r>
      <w:r>
        <w:rPr>
          <w:rFonts w:hint="default" w:ascii="方正仿宋_GBK" w:hAnsi="Times New Roman" w:eastAsia="方正仿宋_GBK" w:cs="Times New Roman"/>
          <w:sz w:val="28"/>
          <w:szCs w:val="28"/>
          <w:lang w:val="en-US" w:eastAsia="zh-CN"/>
        </w:rPr>
        <w:t>混合废气中污染物颗粒物、脱蜡废气中的非甲烷总烃有组织排放执行江苏省地方标准《大气污染物综合排放标准》（DB32/4041-2021）表1中相关限值要求。天然气燃烧废气中颗粒物、二氧化硫、氮氧化物、烟气黑度与烧结废气中污染物颗粒物有组织排放执行江苏省地方标准《工业炉窑大气污染物排放标准》（DB32/3728-2020）中相关限值要求。根据《工业炉窑大气污染物排放标准》（DB32/3728-2020）中“4.3 排气筒高度要求”，</w:t>
      </w:r>
      <w:r>
        <w:rPr>
          <w:rFonts w:hint="eastAsia" w:ascii="方正仿宋_GBK" w:hAnsi="Times New Roman" w:eastAsia="方正仿宋_GBK" w:cs="Times New Roman"/>
          <w:sz w:val="28"/>
          <w:szCs w:val="28"/>
          <w:lang w:val="en-US" w:eastAsia="zh-CN"/>
        </w:rPr>
        <w:t>天然气燃烧废气中</w:t>
      </w:r>
      <w:r>
        <w:rPr>
          <w:rFonts w:hint="default" w:ascii="方正仿宋_GBK" w:hAnsi="Times New Roman" w:eastAsia="方正仿宋_GBK" w:cs="Times New Roman"/>
          <w:sz w:val="28"/>
          <w:szCs w:val="28"/>
          <w:lang w:val="en-US" w:eastAsia="zh-CN"/>
        </w:rPr>
        <w:t>颗粒物、二氧化硫、氮氧化物</w:t>
      </w:r>
      <w:r>
        <w:rPr>
          <w:rFonts w:hint="eastAsia" w:ascii="方正仿宋_GBK" w:hAnsi="Times New Roman" w:eastAsia="方正仿宋_GBK" w:cs="Times New Roman"/>
          <w:sz w:val="28"/>
          <w:szCs w:val="28"/>
          <w:lang w:val="en-US" w:eastAsia="zh-CN"/>
        </w:rPr>
        <w:t>与</w:t>
      </w:r>
      <w:r>
        <w:rPr>
          <w:rFonts w:hint="default" w:ascii="方正仿宋_GBK" w:hAnsi="Times New Roman" w:eastAsia="方正仿宋_GBK" w:cs="Times New Roman"/>
          <w:sz w:val="28"/>
          <w:szCs w:val="28"/>
          <w:lang w:val="en-US" w:eastAsia="zh-CN"/>
        </w:rPr>
        <w:t>烧结废气中颗粒物最高允许排放浓度按标准限值的50%执行。</w:t>
      </w:r>
    </w:p>
    <w:p w14:paraId="234C0F5F">
      <w:pPr>
        <w:keepNext w:val="0"/>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本项目废气污染物中颗粒物、二氧化硫、氮氧化物、非甲烷总烃厂界无组织排放执行江苏省地方标准《大气污染物综合排放标准》（DB32/4041-2021）中表3相关标准限值。厂区内非甲烷总烃无组织排放执行江苏省地方标准《大气污染物综合排放标准》（DB32/4041-2021）中表2相关标准限值。</w:t>
      </w:r>
      <w:r>
        <w:rPr>
          <w:rFonts w:hint="eastAsia" w:ascii="方正仿宋_GBK" w:hAnsi="Times New Roman" w:eastAsia="方正仿宋_GBK" w:cs="Times New Roman"/>
          <w:sz w:val="28"/>
          <w:szCs w:val="28"/>
          <w:lang w:val="en-US" w:eastAsia="zh-CN"/>
        </w:rPr>
        <w:t>厂区内颗粒物无组织排放执行</w:t>
      </w:r>
      <w:r>
        <w:rPr>
          <w:rFonts w:hint="default" w:ascii="方正仿宋_GBK" w:hAnsi="Times New Roman" w:eastAsia="方正仿宋_GBK" w:cs="Times New Roman"/>
          <w:sz w:val="28"/>
          <w:szCs w:val="28"/>
          <w:lang w:val="en-US" w:eastAsia="zh-CN"/>
        </w:rPr>
        <w:t>江苏省地方标准《工业炉窑大气污染物排放标准》（DB32/3728-2020）中</w:t>
      </w:r>
      <w:r>
        <w:rPr>
          <w:rFonts w:hint="eastAsia" w:ascii="方正仿宋_GBK" w:hAnsi="Times New Roman" w:eastAsia="方正仿宋_GBK" w:cs="Times New Roman"/>
          <w:sz w:val="28"/>
          <w:szCs w:val="28"/>
          <w:lang w:val="en-US" w:eastAsia="zh-CN"/>
        </w:rPr>
        <w:t>表3</w:t>
      </w:r>
      <w:r>
        <w:rPr>
          <w:rFonts w:hint="default" w:ascii="方正仿宋_GBK" w:hAnsi="Times New Roman" w:eastAsia="方正仿宋_GBK" w:cs="Times New Roman"/>
          <w:sz w:val="28"/>
          <w:szCs w:val="28"/>
          <w:lang w:val="en-US" w:eastAsia="zh-CN"/>
        </w:rPr>
        <w:t>相关限值要求。</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w:t>
      </w:r>
      <w:r>
        <w:rPr>
          <w:rFonts w:hint="eastAsia" w:ascii="方正仿宋_GBK" w:hAnsi="Times New Roman" w:eastAsia="方正仿宋_GBK" w:cs="Times New Roman"/>
          <w:b w:val="0"/>
          <w:bCs w:val="0"/>
          <w:kern w:val="2"/>
          <w:sz w:val="28"/>
          <w:szCs w:val="28"/>
          <w:lang w:val="en-US" w:eastAsia="zh-CN" w:bidi="ar-SA"/>
        </w:rPr>
        <w:t>措施、优化</w:t>
      </w:r>
      <w:r>
        <w:rPr>
          <w:rFonts w:hint="eastAsia" w:ascii="方正仿宋_GBK" w:eastAsia="方正仿宋_GBK"/>
          <w:sz w:val="28"/>
          <w:szCs w:val="28"/>
        </w:rPr>
        <w:t>设计方案及合理布局设备，确保声环境达到该区域的声功能要求，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A79FD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大气污染物（有组织排放）：非甲烷总烃≤0.014t/a、颗粒物≤0.041t/a、二氧化硫≤0.0026t/a、氮氧化物≤0.016t/a。</w:t>
      </w:r>
    </w:p>
    <w:p w14:paraId="6C3F3D4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大气污染物（无组织排放）</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非甲烷总烃≤0.002t/a、颗粒物≤0.027t/a、二氧化硫≤0.0003t/a、氮氧化物≤0.002t/a。</w:t>
      </w:r>
    </w:p>
    <w:p w14:paraId="7C79055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综合废水污染物（接管/排入环境）：废水量≤1287.3/1287.3t/a，COD≤0.365/0.064t/a、SS≤0.28/0.013t/a、NH</w:t>
      </w:r>
      <w:r>
        <w:rPr>
          <w:rFonts w:hint="default" w:ascii="方正仿宋_GBK" w:hAnsi="Times New Roman" w:eastAsia="方正仿宋_GBK" w:cs="Times New Roman"/>
          <w:sz w:val="28"/>
          <w:szCs w:val="28"/>
          <w:vertAlign w:val="subscript"/>
          <w:lang w:val="en-US" w:eastAsia="zh-CN"/>
        </w:rPr>
        <w:t>3</w:t>
      </w:r>
      <w:r>
        <w:rPr>
          <w:rFonts w:hint="default" w:ascii="方正仿宋_GBK" w:hAnsi="Times New Roman" w:eastAsia="方正仿宋_GBK" w:cs="Times New Roman"/>
          <w:sz w:val="28"/>
          <w:szCs w:val="28"/>
          <w:lang w:val="en-US" w:eastAsia="zh-CN"/>
        </w:rPr>
        <w:t>-N≤0.037/0.0064t/a、TP≤0.0054/0.00104t/a、TN≤0.054/0.019t/a、石油类≤0.007/0.0001t/a、LAS≤0.001/0.00004t/a。</w:t>
      </w:r>
    </w:p>
    <w:p w14:paraId="0513FD4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其中生产废水污染物（接管/排入环境）：废水量≤87.3/87.3t/a，COD≤0.039/0.004t/a、SS≤0.01/0.001t/a、NH</w:t>
      </w:r>
      <w:r>
        <w:rPr>
          <w:rFonts w:hint="default" w:ascii="方正仿宋_GBK" w:hAnsi="Times New Roman" w:eastAsia="方正仿宋_GBK" w:cs="Times New Roman"/>
          <w:sz w:val="28"/>
          <w:szCs w:val="28"/>
          <w:vertAlign w:val="subscript"/>
          <w:lang w:val="en-US" w:eastAsia="zh-CN"/>
        </w:rPr>
        <w:t>3</w:t>
      </w:r>
      <w:r>
        <w:rPr>
          <w:rFonts w:hint="default" w:ascii="方正仿宋_GBK" w:hAnsi="Times New Roman" w:eastAsia="方正仿宋_GBK" w:cs="Times New Roman"/>
          <w:sz w:val="28"/>
          <w:szCs w:val="28"/>
          <w:lang w:val="en-US" w:eastAsia="zh-CN"/>
        </w:rPr>
        <w:t>-N≤0.003/0.0004t/a、TP≤0.0004/0.00004t/a、TN≤0.006/0.001t/a、石油类≤0.007/0.0001t/a、LAS≤0.001/0.00004t/a</w:t>
      </w:r>
      <w:r>
        <w:rPr>
          <w:rFonts w:hint="eastAsia" w:ascii="方正仿宋_GBK" w:eastAsia="方正仿宋_GBK" w:cs="Times New Roman"/>
          <w:sz w:val="28"/>
          <w:szCs w:val="28"/>
          <w:lang w:val="en-US" w:eastAsia="zh-CN"/>
        </w:rPr>
        <w:t>。</w:t>
      </w:r>
    </w:p>
    <w:p w14:paraId="50BF702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w:t>
      </w:r>
      <w:r>
        <w:rPr>
          <w:rFonts w:hint="default" w:ascii="方正仿宋_GBK" w:hAnsi="Times New Roman" w:eastAsia="方正仿宋_GBK" w:cs="Times New Roman"/>
          <w:sz w:val="28"/>
          <w:szCs w:val="28"/>
          <w:lang w:val="en-US" w:eastAsia="zh-CN"/>
        </w:rPr>
        <w:t>生活污水污染物（接管/排入环境）：废水量≤1200/1200t/a，COD≤0.326/0.06t/a</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SS≤0.27/0.012t/a、NH</w:t>
      </w:r>
      <w:r>
        <w:rPr>
          <w:rFonts w:hint="default" w:ascii="方正仿宋_GBK" w:hAnsi="Times New Roman" w:eastAsia="方正仿宋_GBK" w:cs="Times New Roman"/>
          <w:sz w:val="28"/>
          <w:szCs w:val="28"/>
          <w:vertAlign w:val="subscript"/>
          <w:lang w:val="en-US" w:eastAsia="zh-CN"/>
        </w:rPr>
        <w:t>3</w:t>
      </w:r>
      <w:r>
        <w:rPr>
          <w:rFonts w:hint="default" w:ascii="方正仿宋_GBK" w:hAnsi="Times New Roman" w:eastAsia="方正仿宋_GBK" w:cs="Times New Roman"/>
          <w:sz w:val="28"/>
          <w:szCs w:val="28"/>
          <w:lang w:val="en-US" w:eastAsia="zh-CN"/>
        </w:rPr>
        <w:t>-N≤0.034/0.006t/a、TP≤0.005/0.001t/a、TN≤0.048/0.018t/a。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rPr>
        <w:t>八</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2</w:t>
      </w:r>
      <w:r>
        <w:rPr>
          <w:rFonts w:hint="eastAsia" w:ascii="方正仿宋_GBK" w:eastAsia="方正仿宋_GBK"/>
          <w:sz w:val="28"/>
        </w:rPr>
        <w:t>月</w:t>
      </w:r>
      <w:r>
        <w:rPr>
          <w:rFonts w:hint="eastAsia" w:ascii="方正仿宋_GBK" w:eastAsia="方正仿宋_GBK"/>
          <w:sz w:val="28"/>
          <w:lang w:val="en-US" w:eastAsia="zh-CN"/>
        </w:rPr>
        <w:t>9</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8044F7-1CDE-4628-8F32-0BF253B1542D}"/>
  </w:font>
  <w:font w:name="Arial">
    <w:panose1 w:val="020B0604020202020204"/>
    <w:charset w:val="01"/>
    <w:family w:val="swiss"/>
    <w:pitch w:val="default"/>
    <w:sig w:usb0="E0002AFF" w:usb1="C0007843" w:usb2="00000009" w:usb3="00000000" w:csb0="400001FF" w:csb1="FFFF0000"/>
    <w:embedRegular r:id="rId2" w:fontKey="{29AEC256-4EB0-42FB-8AFF-EB563EBCA5A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0369C35-98F2-4FD3-A535-155F51ECE13A}"/>
  </w:font>
  <w:font w:name="Symbol">
    <w:panose1 w:val="05050102010706020507"/>
    <w:charset w:val="02"/>
    <w:family w:val="roman"/>
    <w:pitch w:val="default"/>
    <w:sig w:usb0="00000000" w:usb1="00000000" w:usb2="00000000" w:usb3="00000000" w:csb0="80000000" w:csb1="00000000"/>
    <w:embedRegular r:id="rId4" w:fontKey="{B9035757-D4EF-4A27-A021-646C3D6B8F65}"/>
  </w:font>
  <w:font w:name="Calibri">
    <w:panose1 w:val="020F0502020204030204"/>
    <w:charset w:val="00"/>
    <w:family w:val="swiss"/>
    <w:pitch w:val="default"/>
    <w:sig w:usb0="E00002FF" w:usb1="4000ACFF" w:usb2="00000001" w:usb3="00000000" w:csb0="2000019F" w:csb1="00000000"/>
    <w:embedRegular r:id="rId5" w:fontKey="{AB544D1E-0C36-4932-AC2F-C6843B2E1A9A}"/>
  </w:font>
  <w:font w:name="Calibri Light">
    <w:panose1 w:val="020F0302020204030204"/>
    <w:charset w:val="00"/>
    <w:family w:val="swiss"/>
    <w:pitch w:val="default"/>
    <w:sig w:usb0="A00002EF" w:usb1="4000207B" w:usb2="00000000" w:usb3="00000000" w:csb0="2000019F" w:csb1="00000000"/>
    <w:embedRegular r:id="rId6" w:fontKey="{A0AC2B24-6D0E-4D30-859C-4ED47B1B63FB}"/>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AC4F36BA-29B3-4AD5-9B8A-31776EBF5E9D}"/>
  </w:font>
  <w:font w:name="方正仿宋_GBK">
    <w:panose1 w:val="03000509000000000000"/>
    <w:charset w:val="86"/>
    <w:family w:val="script"/>
    <w:pitch w:val="default"/>
    <w:sig w:usb0="00000001" w:usb1="080E0000" w:usb2="00000000" w:usb3="00000000" w:csb0="00040000" w:csb1="00000000"/>
    <w:embedRegular r:id="rId8" w:fontKey="{776CC922-3C0B-4B34-BBD8-4EBE2D17E8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5"/>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5"/>
      <w:framePr w:wrap="around" w:vAnchor="text" w:hAnchor="margin" w:xAlign="center" w:y="1"/>
      <w:rPr>
        <w:rStyle w:val="20"/>
      </w:rPr>
    </w:pPr>
    <w:r>
      <w:fldChar w:fldCharType="begin"/>
    </w:r>
    <w:r>
      <w:rPr>
        <w:rStyle w:val="20"/>
      </w:rPr>
      <w:instrText xml:space="preserve">PAGE  </w:instrText>
    </w:r>
    <w:r>
      <w:fldChar w:fldCharType="end"/>
    </w:r>
  </w:p>
  <w:p w14:paraId="52143C28">
    <w:pPr>
      <w:pStyle w:val="1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A43877"/>
    <w:rsid w:val="04D67A31"/>
    <w:rsid w:val="04EE0386"/>
    <w:rsid w:val="052143D9"/>
    <w:rsid w:val="061A5CE2"/>
    <w:rsid w:val="067A7CBC"/>
    <w:rsid w:val="06B060FE"/>
    <w:rsid w:val="07155C37"/>
    <w:rsid w:val="07A33221"/>
    <w:rsid w:val="07A7669E"/>
    <w:rsid w:val="07B335E9"/>
    <w:rsid w:val="08112B41"/>
    <w:rsid w:val="083D7888"/>
    <w:rsid w:val="084E641F"/>
    <w:rsid w:val="089901D5"/>
    <w:rsid w:val="09206D5E"/>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856D06"/>
    <w:rsid w:val="0CAE0383"/>
    <w:rsid w:val="0CBD4B33"/>
    <w:rsid w:val="0CDA2405"/>
    <w:rsid w:val="0CED040D"/>
    <w:rsid w:val="0CED2F13"/>
    <w:rsid w:val="0D2D37B0"/>
    <w:rsid w:val="0D4475C2"/>
    <w:rsid w:val="0D5F3E1B"/>
    <w:rsid w:val="0D870F11"/>
    <w:rsid w:val="0D930915"/>
    <w:rsid w:val="0DDC62D9"/>
    <w:rsid w:val="0E064E96"/>
    <w:rsid w:val="0E3E030E"/>
    <w:rsid w:val="0E6F283B"/>
    <w:rsid w:val="0E80608C"/>
    <w:rsid w:val="0E833A57"/>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EB0A77"/>
    <w:rsid w:val="151B5B9E"/>
    <w:rsid w:val="153D1554"/>
    <w:rsid w:val="15641308"/>
    <w:rsid w:val="158D0011"/>
    <w:rsid w:val="15AA1C40"/>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1D3897"/>
    <w:rsid w:val="1C44328E"/>
    <w:rsid w:val="1C9E0F39"/>
    <w:rsid w:val="1D130D11"/>
    <w:rsid w:val="1D350BCE"/>
    <w:rsid w:val="1D857FB8"/>
    <w:rsid w:val="1D942FDD"/>
    <w:rsid w:val="1DCC4558"/>
    <w:rsid w:val="1DE5415D"/>
    <w:rsid w:val="1E0345E3"/>
    <w:rsid w:val="1E832108"/>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791AE4"/>
    <w:rsid w:val="21864E96"/>
    <w:rsid w:val="21B52B0E"/>
    <w:rsid w:val="21B93937"/>
    <w:rsid w:val="21D44A1E"/>
    <w:rsid w:val="21F628A8"/>
    <w:rsid w:val="222744F4"/>
    <w:rsid w:val="226F2247"/>
    <w:rsid w:val="227619B0"/>
    <w:rsid w:val="227A3683"/>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AEF2177"/>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EA7A3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B3ACF"/>
    <w:rsid w:val="3EB87B15"/>
    <w:rsid w:val="3EC05C37"/>
    <w:rsid w:val="3EC95AA1"/>
    <w:rsid w:val="3ECA4A3E"/>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967AF3"/>
    <w:rsid w:val="42A72356"/>
    <w:rsid w:val="435D4F55"/>
    <w:rsid w:val="435E20EE"/>
    <w:rsid w:val="436A7774"/>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CB850F5"/>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B568E0"/>
    <w:rsid w:val="55CD4B0F"/>
    <w:rsid w:val="55FC3817"/>
    <w:rsid w:val="561523F3"/>
    <w:rsid w:val="56436CCC"/>
    <w:rsid w:val="56776305"/>
    <w:rsid w:val="568B2322"/>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78027D"/>
    <w:rsid w:val="5CC90DBE"/>
    <w:rsid w:val="5CD03307"/>
    <w:rsid w:val="5CFF1E3E"/>
    <w:rsid w:val="5D26561D"/>
    <w:rsid w:val="5D293552"/>
    <w:rsid w:val="5D7E7207"/>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512ACB"/>
    <w:rsid w:val="64990483"/>
    <w:rsid w:val="64A37924"/>
    <w:rsid w:val="64BD0615"/>
    <w:rsid w:val="64CA180B"/>
    <w:rsid w:val="65036A68"/>
    <w:rsid w:val="65314B5F"/>
    <w:rsid w:val="65A82BAC"/>
    <w:rsid w:val="65FF7E4F"/>
    <w:rsid w:val="66014D57"/>
    <w:rsid w:val="66222AA7"/>
    <w:rsid w:val="662F61A2"/>
    <w:rsid w:val="6630518B"/>
    <w:rsid w:val="66482351"/>
    <w:rsid w:val="6732074E"/>
    <w:rsid w:val="67400CBE"/>
    <w:rsid w:val="677A3CE3"/>
    <w:rsid w:val="67A81915"/>
    <w:rsid w:val="67C55B51"/>
    <w:rsid w:val="681369E6"/>
    <w:rsid w:val="68143268"/>
    <w:rsid w:val="681B1DDE"/>
    <w:rsid w:val="68200D07"/>
    <w:rsid w:val="682E182A"/>
    <w:rsid w:val="683E1A6D"/>
    <w:rsid w:val="68555008"/>
    <w:rsid w:val="68D230EC"/>
    <w:rsid w:val="696F0CC6"/>
    <w:rsid w:val="6A6B50A6"/>
    <w:rsid w:val="6A752492"/>
    <w:rsid w:val="6A9F07BD"/>
    <w:rsid w:val="6AB87D91"/>
    <w:rsid w:val="6AC1775B"/>
    <w:rsid w:val="6B376C47"/>
    <w:rsid w:val="6B4012C0"/>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209A2"/>
    <w:rsid w:val="6ECC3E3C"/>
    <w:rsid w:val="6EFD5AB2"/>
    <w:rsid w:val="6F300929"/>
    <w:rsid w:val="6F4162E7"/>
    <w:rsid w:val="6FA96C76"/>
    <w:rsid w:val="704E6C3A"/>
    <w:rsid w:val="707433B6"/>
    <w:rsid w:val="70B15E6F"/>
    <w:rsid w:val="70C96594"/>
    <w:rsid w:val="70CB5E68"/>
    <w:rsid w:val="70DE6A5A"/>
    <w:rsid w:val="71201CBB"/>
    <w:rsid w:val="71353C29"/>
    <w:rsid w:val="71E76930"/>
    <w:rsid w:val="721E46BD"/>
    <w:rsid w:val="72477770"/>
    <w:rsid w:val="729921DF"/>
    <w:rsid w:val="72A718D5"/>
    <w:rsid w:val="72DF7204"/>
    <w:rsid w:val="73153E7F"/>
    <w:rsid w:val="736B375D"/>
    <w:rsid w:val="737C169B"/>
    <w:rsid w:val="73A5266E"/>
    <w:rsid w:val="73D40519"/>
    <w:rsid w:val="73DA15E5"/>
    <w:rsid w:val="74001B80"/>
    <w:rsid w:val="740F42BD"/>
    <w:rsid w:val="745D1871"/>
    <w:rsid w:val="74665049"/>
    <w:rsid w:val="749D1686"/>
    <w:rsid w:val="74AD1B49"/>
    <w:rsid w:val="74E72BA9"/>
    <w:rsid w:val="750951B1"/>
    <w:rsid w:val="75114B83"/>
    <w:rsid w:val="75581C94"/>
    <w:rsid w:val="7570731B"/>
    <w:rsid w:val="759233F8"/>
    <w:rsid w:val="75A34452"/>
    <w:rsid w:val="75C6028F"/>
    <w:rsid w:val="75DE76D2"/>
    <w:rsid w:val="76BF57A0"/>
    <w:rsid w:val="772D001C"/>
    <w:rsid w:val="77450747"/>
    <w:rsid w:val="776808B4"/>
    <w:rsid w:val="779720EC"/>
    <w:rsid w:val="77976AA4"/>
    <w:rsid w:val="77E6160F"/>
    <w:rsid w:val="78030A7A"/>
    <w:rsid w:val="78205CFD"/>
    <w:rsid w:val="78337945"/>
    <w:rsid w:val="78402897"/>
    <w:rsid w:val="7866291A"/>
    <w:rsid w:val="78911745"/>
    <w:rsid w:val="78A00EC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9">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5"/>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标题 段落4级"/>
    <w:basedOn w:val="4"/>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styleId="5">
    <w:name w:val="Body Text First Indent 2"/>
    <w:basedOn w:val="6"/>
    <w:next w:val="7"/>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6">
    <w:name w:val="Body Text Indent"/>
    <w:basedOn w:val="1"/>
    <w:next w:val="5"/>
    <w:autoRedefine/>
    <w:qFormat/>
    <w:uiPriority w:val="0"/>
    <w:pPr>
      <w:spacing w:after="120"/>
      <w:ind w:left="420" w:leftChars="200"/>
    </w:pPr>
    <w:rPr>
      <w:kern w:val="0"/>
      <w:sz w:val="24"/>
      <w:szCs w:val="20"/>
    </w:rPr>
  </w:style>
  <w:style w:type="paragraph" w:styleId="7">
    <w:name w:val="Body Text First Indent"/>
    <w:basedOn w:val="1"/>
    <w:next w:val="1"/>
    <w:qFormat/>
    <w:uiPriority w:val="0"/>
    <w:pPr>
      <w:ind w:firstLine="420" w:firstLineChars="100"/>
    </w:pPr>
  </w:style>
  <w:style w:type="paragraph" w:styleId="10">
    <w:name w:val="Normal Indent"/>
    <w:basedOn w:val="1"/>
    <w:next w:val="1"/>
    <w:autoRedefine/>
    <w:qFormat/>
    <w:uiPriority w:val="0"/>
    <w:pPr>
      <w:ind w:firstLine="420"/>
    </w:pPr>
  </w:style>
  <w:style w:type="paragraph" w:styleId="11">
    <w:name w:val="annotation text"/>
    <w:basedOn w:val="1"/>
    <w:qFormat/>
    <w:uiPriority w:val="0"/>
    <w:pPr>
      <w:jc w:val="left"/>
    </w:pPr>
  </w:style>
  <w:style w:type="paragraph" w:styleId="12">
    <w:name w:val="Body Text"/>
    <w:basedOn w:val="1"/>
    <w:next w:val="1"/>
    <w:autoRedefine/>
    <w:unhideWhenUsed/>
    <w:qFormat/>
    <w:uiPriority w:val="99"/>
    <w:pPr>
      <w:widowControl/>
      <w:spacing w:after="120"/>
      <w:jc w:val="left"/>
    </w:pPr>
  </w:style>
  <w:style w:type="paragraph" w:styleId="13">
    <w:name w:val="Body Text Indent 2"/>
    <w:basedOn w:val="1"/>
    <w:link w:val="23"/>
    <w:autoRedefine/>
    <w:qFormat/>
    <w:uiPriority w:val="0"/>
    <w:pPr>
      <w:spacing w:line="400" w:lineRule="exact"/>
      <w:ind w:firstLine="560" w:firstLineChars="200"/>
    </w:pPr>
    <w:rPr>
      <w:rFonts w:eastAsia="仿宋_GB2312"/>
      <w:sz w:val="28"/>
    </w:rPr>
  </w:style>
  <w:style w:type="paragraph" w:styleId="14">
    <w:name w:val="Balloon Text"/>
    <w:basedOn w:val="1"/>
    <w:autoRedefine/>
    <w:semiHidden/>
    <w:qFormat/>
    <w:uiPriority w:val="0"/>
    <w:rPr>
      <w:sz w:val="18"/>
      <w:szCs w:val="18"/>
    </w:rPr>
  </w:style>
  <w:style w:type="paragraph" w:styleId="15">
    <w:name w:val="footer"/>
    <w:basedOn w:val="1"/>
    <w:autoRedefine/>
    <w:qFormat/>
    <w:uiPriority w:val="0"/>
    <w:pPr>
      <w:tabs>
        <w:tab w:val="center" w:pos="4153"/>
        <w:tab w:val="right" w:pos="8306"/>
      </w:tabs>
      <w:snapToGrid w:val="0"/>
      <w:jc w:val="left"/>
    </w:pPr>
    <w:rPr>
      <w:sz w:val="18"/>
      <w:szCs w:val="18"/>
    </w:rPr>
  </w:style>
  <w:style w:type="paragraph" w:styleId="16">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13"/>
    <w:autoRedefine/>
    <w:qFormat/>
    <w:uiPriority w:val="0"/>
    <w:rPr>
      <w:rFonts w:eastAsia="仿宋_GB2312"/>
      <w:kern w:val="2"/>
      <w:sz w:val="28"/>
      <w:szCs w:val="24"/>
    </w:rPr>
  </w:style>
  <w:style w:type="character" w:customStyle="1" w:styleId="24">
    <w:name w:val="页眉 Char"/>
    <w:basedOn w:val="19"/>
    <w:link w:val="16"/>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2380</Words>
  <Characters>2977</Characters>
  <Lines>16</Lines>
  <Paragraphs>4</Paragraphs>
  <TotalTime>0</TotalTime>
  <ScaleCrop>false</ScaleCrop>
  <LinksUpToDate>false</LinksUpToDate>
  <CharactersWithSpaces>3018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2026-02-02T01:19:28Z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