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A7425D">
      <w:pPr>
        <w:spacing w:line="460" w:lineRule="atLeast"/>
        <w:jc w:val="center"/>
        <w:rPr>
          <w:rFonts w:ascii="方正小标宋_GBK" w:hAnsi="宋体" w:eastAsia="方正小标宋_GBK"/>
          <w:b/>
          <w:sz w:val="32"/>
          <w:szCs w:val="32"/>
        </w:rPr>
      </w:pPr>
    </w:p>
    <w:p w14:paraId="2822A1F4">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关于对南京市高淳区交通运输局高龙线拓宽改造项目环境影响报告书的审批意见</w:t>
      </w:r>
    </w:p>
    <w:p w14:paraId="179C3A5A">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9</w:t>
      </w:r>
      <w:r>
        <w:rPr>
          <w:rFonts w:hint="eastAsia" w:ascii="方正仿宋_GBK" w:hAnsi="宋体" w:eastAsia="方正仿宋_GBK"/>
          <w:sz w:val="28"/>
          <w:szCs w:val="28"/>
        </w:rPr>
        <w:t>号</w:t>
      </w:r>
    </w:p>
    <w:p w14:paraId="45326038">
      <w:pPr>
        <w:keepNext w:val="0"/>
        <w:keepLines w:val="0"/>
        <w:pageBreakBefore w:val="0"/>
        <w:widowControl w:val="0"/>
        <w:kinsoku/>
        <w:wordWrap/>
        <w:overflowPunct/>
        <w:topLinePunct w:val="0"/>
        <w:autoSpaceDE/>
        <w:autoSpaceDN/>
        <w:bidi w:val="0"/>
        <w:adjustRightInd/>
        <w:snapToGrid/>
        <w:spacing w:line="540" w:lineRule="exact"/>
        <w:jc w:val="left"/>
        <w:textAlignment w:val="auto"/>
        <w:rPr>
          <w:rFonts w:hint="eastAsia" w:ascii="方正仿宋_GBK" w:eastAsia="方正仿宋_GBK"/>
          <w:sz w:val="28"/>
          <w:szCs w:val="28"/>
        </w:rPr>
      </w:pPr>
      <w:r>
        <w:rPr>
          <w:rFonts w:hint="eastAsia" w:ascii="方正仿宋_GBK" w:eastAsia="方正仿宋_GBK"/>
          <w:sz w:val="28"/>
          <w:szCs w:val="28"/>
        </w:rPr>
        <w:t>南京市高淳区交通运输局：</w:t>
      </w:r>
    </w:p>
    <w:p w14:paraId="6ACB83EC">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ascii="方正仿宋_GBK" w:eastAsia="方正仿宋_GBK"/>
          <w:sz w:val="28"/>
          <w:szCs w:val="28"/>
        </w:rPr>
      </w:pPr>
      <w:r>
        <w:rPr>
          <w:rFonts w:hint="eastAsia" w:ascii="方正仿宋_GBK" w:eastAsia="方正仿宋_GBK"/>
          <w:sz w:val="28"/>
          <w:szCs w:val="28"/>
        </w:rPr>
        <w:t>你单位报送的《南京市高淳区交通运输局高龙线拓宽改造项目环境影响报告</w:t>
      </w:r>
      <w:r>
        <w:rPr>
          <w:rFonts w:hint="eastAsia" w:ascii="方正仿宋_GBK" w:eastAsia="方正仿宋_GBK"/>
          <w:sz w:val="28"/>
          <w:szCs w:val="28"/>
          <w:lang w:eastAsia="zh-CN"/>
        </w:rPr>
        <w:t>表</w:t>
      </w:r>
      <w:r>
        <w:rPr>
          <w:rFonts w:hint="eastAsia" w:ascii="方正仿宋_GBK" w:eastAsia="方正仿宋_GBK"/>
          <w:sz w:val="28"/>
          <w:szCs w:val="28"/>
        </w:rPr>
        <w:t>》（以下简称报告</w:t>
      </w:r>
      <w:r>
        <w:rPr>
          <w:rFonts w:hint="eastAsia" w:ascii="方正仿宋_GBK" w:eastAsia="方正仿宋_GBK"/>
          <w:sz w:val="28"/>
          <w:szCs w:val="28"/>
          <w:lang w:eastAsia="zh-CN"/>
        </w:rPr>
        <w:t>表</w:t>
      </w:r>
      <w:r>
        <w:rPr>
          <w:rFonts w:hint="eastAsia" w:ascii="方正仿宋_GBK" w:eastAsia="方正仿宋_GBK"/>
          <w:sz w:val="28"/>
          <w:szCs w:val="28"/>
        </w:rPr>
        <w:t>）已收悉，经研究，形成如下审批意见：</w:t>
      </w:r>
    </w:p>
    <w:p w14:paraId="45064C55">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方正仿宋_GBK" w:eastAsia="方正仿宋_GBK" w:cs="Times New Roman"/>
          <w:sz w:val="28"/>
          <w:szCs w:val="28"/>
          <w:lang w:eastAsia="zh-CN"/>
        </w:rPr>
      </w:pPr>
      <w:r>
        <w:rPr>
          <w:rFonts w:hint="eastAsia" w:ascii="方正仿宋_GBK" w:hAnsi="Times New Roman" w:eastAsia="方正仿宋_GBK" w:cs="Times New Roman"/>
          <w:sz w:val="28"/>
          <w:szCs w:val="28"/>
        </w:rPr>
        <w:t>一、根据申报，</w:t>
      </w:r>
      <w:r>
        <w:rPr>
          <w:rFonts w:hint="eastAsia" w:ascii="方正仿宋_GBK" w:hAnsi="Times New Roman" w:eastAsia="方正仿宋_GBK" w:cs="Times New Roman"/>
          <w:sz w:val="28"/>
          <w:szCs w:val="28"/>
          <w:lang w:val="en-US" w:eastAsia="zh-CN"/>
        </w:rPr>
        <w:t>本项目位于南京市高淳区阳江镇，起于官溪河大桥与高龙线交叉口，终于高龙线与薛盛线交叉口，全长为738.98m。项目设计车道等级为双车道三级公路，设计车速30km/h，采用静音沥青混凝土路面，K0+000~K0+045段设计路基宽度7m，K0+045~K0+738.98段设计路基宽度10m。工程内容：路基工程、路面工程、交通工程、照明工程、环保工程及其他工程等</w:t>
      </w:r>
      <w:r>
        <w:rPr>
          <w:rFonts w:hint="eastAsia" w:ascii="方正仿宋_GBK" w:hAnsi="Times New Roman" w:eastAsia="方正仿宋_GBK" w:cs="Times New Roman"/>
          <w:sz w:val="28"/>
          <w:szCs w:val="28"/>
        </w:rPr>
        <w:t>。项目总投资约</w:t>
      </w:r>
      <w:r>
        <w:rPr>
          <w:rFonts w:hint="eastAsia" w:ascii="方正仿宋_GBK" w:hAnsi="Times New Roman" w:eastAsia="方正仿宋_GBK" w:cs="Times New Roman"/>
          <w:sz w:val="28"/>
          <w:szCs w:val="28"/>
          <w:lang w:val="en-US" w:eastAsia="zh-CN"/>
        </w:rPr>
        <w:t>1958.85万元（其中建安费约862.64万元）</w:t>
      </w:r>
      <w:r>
        <w:rPr>
          <w:rFonts w:hint="eastAsia" w:ascii="方正仿宋_GBK" w:hAnsi="Times New Roman" w:eastAsia="方正仿宋_GBK" w:cs="Times New Roman"/>
          <w:sz w:val="28"/>
          <w:szCs w:val="28"/>
        </w:rPr>
        <w:t>，其中环保投资约</w:t>
      </w:r>
      <w:r>
        <w:rPr>
          <w:rFonts w:hint="eastAsia" w:ascii="方正仿宋_GBK" w:hAnsi="Times New Roman" w:eastAsia="方正仿宋_GBK" w:cs="Times New Roman"/>
          <w:sz w:val="28"/>
          <w:szCs w:val="28"/>
          <w:lang w:val="en-US" w:eastAsia="zh-CN"/>
        </w:rPr>
        <w:t>42.6</w:t>
      </w:r>
      <w:r>
        <w:rPr>
          <w:rFonts w:hint="eastAsia" w:ascii="方正仿宋_GBK" w:hAnsi="Times New Roman" w:eastAsia="方正仿宋_GBK" w:cs="Times New Roman"/>
          <w:sz w:val="28"/>
          <w:szCs w:val="28"/>
        </w:rPr>
        <w:t>万元</w:t>
      </w:r>
      <w:r>
        <w:rPr>
          <w:rFonts w:hint="eastAsia" w:ascii="方正仿宋_GBK" w:hAnsi="Times New Roman" w:eastAsia="方正仿宋_GBK" w:cs="Times New Roman"/>
          <w:sz w:val="28"/>
          <w:szCs w:val="28"/>
          <w:lang w:eastAsia="zh-CN"/>
        </w:rPr>
        <w:t>。</w:t>
      </w:r>
      <w:r>
        <w:rPr>
          <w:rFonts w:hint="eastAsia" w:ascii="方正仿宋_GBK" w:eastAsia="方正仿宋_GBK" w:cs="Times New Roman"/>
          <w:sz w:val="28"/>
          <w:szCs w:val="28"/>
          <w:lang w:eastAsia="zh-CN"/>
        </w:rPr>
        <w:t>本项目涉及部分农用地，</w:t>
      </w:r>
      <w:r>
        <w:rPr>
          <w:rFonts w:hint="eastAsia" w:ascii="方正仿宋_GBK" w:eastAsia="方正仿宋_GBK" w:cs="Times New Roman"/>
          <w:sz w:val="28"/>
          <w:szCs w:val="28"/>
          <w:lang w:val="en-US" w:eastAsia="zh-CN"/>
        </w:rPr>
        <w:t>在土地未完成征收工作之前不得开工建设。</w:t>
      </w:r>
    </w:p>
    <w:p w14:paraId="2146650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方正仿宋_GBK" w:eastAsia="方正仿宋_GBK"/>
          <w:sz w:val="28"/>
          <w:szCs w:val="28"/>
        </w:rPr>
      </w:pPr>
      <w:r>
        <w:rPr>
          <w:rFonts w:hint="eastAsia" w:ascii="方正仿宋_GBK" w:eastAsia="方正仿宋_GBK"/>
          <w:sz w:val="28"/>
          <w:szCs w:val="28"/>
        </w:rPr>
        <w:t>二、根据《报告</w:t>
      </w:r>
      <w:r>
        <w:rPr>
          <w:rFonts w:hint="eastAsia" w:ascii="方正仿宋_GBK" w:eastAsia="方正仿宋_GBK"/>
          <w:sz w:val="28"/>
          <w:szCs w:val="28"/>
          <w:lang w:eastAsia="zh-CN"/>
        </w:rPr>
        <w:t>表</w:t>
      </w:r>
      <w:r>
        <w:rPr>
          <w:rFonts w:hint="eastAsia" w:ascii="方正仿宋_GBK" w:eastAsia="方正仿宋_GBK"/>
          <w:sz w:val="28"/>
          <w:szCs w:val="28"/>
        </w:rPr>
        <w:t>》评价结论和及专家对该报告</w:t>
      </w:r>
      <w:r>
        <w:rPr>
          <w:rFonts w:hint="eastAsia" w:ascii="方正仿宋_GBK" w:eastAsia="方正仿宋_GBK"/>
          <w:sz w:val="28"/>
          <w:szCs w:val="28"/>
          <w:lang w:eastAsia="zh-CN"/>
        </w:rPr>
        <w:t>表</w:t>
      </w:r>
      <w:r>
        <w:rPr>
          <w:rFonts w:hint="eastAsia" w:ascii="方正仿宋_GBK" w:eastAsia="方正仿宋_GBK"/>
          <w:sz w:val="28"/>
          <w:szCs w:val="28"/>
        </w:rPr>
        <w:t>的</w:t>
      </w:r>
      <w:r>
        <w:rPr>
          <w:rFonts w:hint="eastAsia" w:ascii="方正仿宋_GBK" w:eastAsia="方正仿宋_GBK"/>
          <w:sz w:val="28"/>
          <w:szCs w:val="28"/>
          <w:lang w:eastAsia="zh-CN"/>
        </w:rPr>
        <w:t>函审</w:t>
      </w:r>
      <w:r>
        <w:rPr>
          <w:rFonts w:hint="eastAsia" w:ascii="方正仿宋_GBK" w:eastAsia="方正仿宋_GBK"/>
          <w:sz w:val="28"/>
          <w:szCs w:val="28"/>
        </w:rPr>
        <w:t>意见，在符合相关规划和环保政策并落实《报告</w:t>
      </w:r>
      <w:r>
        <w:rPr>
          <w:rFonts w:hint="eastAsia" w:ascii="方正仿宋_GBK" w:eastAsia="方正仿宋_GBK"/>
          <w:sz w:val="28"/>
          <w:szCs w:val="28"/>
          <w:lang w:eastAsia="zh-CN"/>
        </w:rPr>
        <w:t>表</w:t>
      </w:r>
      <w:r>
        <w:rPr>
          <w:rFonts w:hint="eastAsia" w:ascii="方正仿宋_GBK" w:eastAsia="方正仿宋_GBK"/>
          <w:sz w:val="28"/>
          <w:szCs w:val="28"/>
        </w:rPr>
        <w:t>》所提出的相关污染防治及环境风险防范措施的前提下，从环境保护角度分析，你单位按《报告</w:t>
      </w:r>
      <w:r>
        <w:rPr>
          <w:rFonts w:hint="eastAsia" w:ascii="方正仿宋_GBK" w:eastAsia="方正仿宋_GBK"/>
          <w:sz w:val="28"/>
          <w:szCs w:val="28"/>
          <w:lang w:eastAsia="zh-CN"/>
        </w:rPr>
        <w:t>表</w:t>
      </w:r>
      <w:r>
        <w:rPr>
          <w:rFonts w:hint="eastAsia" w:ascii="方正仿宋_GBK" w:eastAsia="方正仿宋_GBK"/>
          <w:sz w:val="28"/>
          <w:szCs w:val="28"/>
        </w:rPr>
        <w:t>》所述进行建设具备环境可行性。</w:t>
      </w:r>
    </w:p>
    <w:p w14:paraId="2AE678D7">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方正仿宋_GBK" w:eastAsia="方正仿宋_GBK"/>
          <w:sz w:val="28"/>
          <w:szCs w:val="28"/>
        </w:rPr>
      </w:pPr>
      <w:r>
        <w:rPr>
          <w:rFonts w:hint="eastAsia" w:ascii="方正仿宋_GBK" w:eastAsia="方正仿宋_GBK"/>
          <w:sz w:val="28"/>
          <w:szCs w:val="28"/>
          <w:lang w:eastAsia="zh-CN"/>
        </w:rPr>
        <w:t>三</w:t>
      </w:r>
      <w:r>
        <w:rPr>
          <w:rFonts w:hint="eastAsia" w:ascii="方正仿宋_GBK" w:eastAsia="方正仿宋_GBK"/>
          <w:sz w:val="28"/>
          <w:szCs w:val="28"/>
        </w:rPr>
        <w:t>、在项目工程设计、建设、运行以及环境管理中，你单位须严格落实《报告</w:t>
      </w:r>
      <w:r>
        <w:rPr>
          <w:rFonts w:hint="eastAsia" w:ascii="方正仿宋_GBK" w:eastAsia="方正仿宋_GBK"/>
          <w:sz w:val="28"/>
          <w:szCs w:val="28"/>
          <w:lang w:eastAsia="zh-CN"/>
        </w:rPr>
        <w:t>表</w:t>
      </w:r>
      <w:r>
        <w:rPr>
          <w:rFonts w:hint="eastAsia" w:ascii="方正仿宋_GBK" w:eastAsia="方正仿宋_GBK"/>
          <w:sz w:val="28"/>
          <w:szCs w:val="28"/>
        </w:rPr>
        <w:t>》提出的各项生态环境保护和环境风险防范措施，严格执行环保“三同时”制度，重点做好以下工作：</w:t>
      </w:r>
    </w:p>
    <w:p w14:paraId="2856272B">
      <w:pPr>
        <w:spacing w:line="590" w:lineRule="exact"/>
        <w:ind w:firstLine="560" w:firstLineChars="200"/>
        <w:rPr>
          <w:rFonts w:eastAsia="方正仿宋_GBK"/>
          <w:sz w:val="32"/>
          <w:szCs w:val="32"/>
        </w:rPr>
      </w:pPr>
      <w:r>
        <w:rPr>
          <w:rFonts w:hint="eastAsia" w:ascii="方正仿宋_GBK" w:eastAsia="方正仿宋_GBK"/>
          <w:sz w:val="28"/>
          <w:szCs w:val="28"/>
        </w:rPr>
        <w:t>（一）加强沿线生态环境保护。进一步优化项目线路、工程设计和施工方案，尽量避免或减少占用耕地、植被资源。进一步优化、细化环境保护措施，落实生态环境保护和环境风险防范措施及投资，并将生态环境保护要求列入工程招标内容中。</w:t>
      </w:r>
    </w:p>
    <w:p w14:paraId="2034D333">
      <w:pPr>
        <w:spacing w:line="590" w:lineRule="exact"/>
        <w:ind w:firstLine="560" w:firstLineChars="200"/>
        <w:rPr>
          <w:rFonts w:hint="eastAsia" w:ascii="方正仿宋_GBK" w:eastAsia="方正仿宋_GBK"/>
          <w:sz w:val="28"/>
          <w:szCs w:val="28"/>
        </w:rPr>
      </w:pPr>
      <w:r>
        <w:rPr>
          <w:rFonts w:hint="eastAsia" w:ascii="方正仿宋_GBK" w:eastAsia="方正仿宋_GBK"/>
          <w:sz w:val="28"/>
          <w:szCs w:val="28"/>
        </w:rPr>
        <w:t>施工过程中加强管理，保护施工场地周围植被，施工临时便道尽量利用既有公路，尽量减少对农作物和地表植被的扰动、破坏；施工结束后，对临时用地复垦、绿化，恢复原有使用功能，线路两侧栽植乔灌进行绿化，路基边坡灌草绿化。</w:t>
      </w:r>
    </w:p>
    <w:p w14:paraId="625DC3D7">
      <w:pPr>
        <w:spacing w:line="590" w:lineRule="exact"/>
        <w:ind w:firstLine="560" w:firstLineChars="200"/>
        <w:rPr>
          <w:rFonts w:hint="eastAsia" w:ascii="方正仿宋_GBK" w:eastAsia="方正仿宋_GBK"/>
          <w:sz w:val="28"/>
          <w:szCs w:val="28"/>
        </w:rPr>
      </w:pPr>
      <w:r>
        <w:rPr>
          <w:rFonts w:hint="eastAsia" w:ascii="方正仿宋_GBK" w:eastAsia="方正仿宋_GBK"/>
          <w:sz w:val="28"/>
          <w:szCs w:val="28"/>
        </w:rPr>
        <w:t>（二）严格落实噪声污染防治措施。施工期选用低噪声施工方式或设备，安装消声器、设置隔音棚，施工设备布置尽量远离敏感建筑物或加以隔离挡护，</w:t>
      </w:r>
      <w:r>
        <w:rPr>
          <w:rFonts w:hint="eastAsia" w:ascii="方正仿宋_GBK" w:eastAsia="方正仿宋_GBK"/>
          <w:sz w:val="28"/>
          <w:szCs w:val="28"/>
          <w:lang w:eastAsia="zh-CN"/>
        </w:rPr>
        <w:t>严禁夜间施工</w:t>
      </w:r>
      <w:r>
        <w:rPr>
          <w:rFonts w:hint="eastAsia" w:ascii="方正仿宋_GBK" w:eastAsia="方正仿宋_GBK"/>
          <w:sz w:val="28"/>
          <w:szCs w:val="28"/>
        </w:rPr>
        <w:t>，避免噪声扰民。</w:t>
      </w:r>
    </w:p>
    <w:p w14:paraId="2A8E2C3E">
      <w:pPr>
        <w:spacing w:line="590" w:lineRule="exact"/>
        <w:ind w:firstLine="560" w:firstLineChars="200"/>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lang w:val="en-US" w:eastAsia="zh-CN"/>
        </w:rPr>
        <w:t>本项目全线拟采用改良型沥青降噪路面，并进行交通管控；同时将安装隔声窗作为备用降噪措施，并预留足够资金。</w:t>
      </w:r>
    </w:p>
    <w:p w14:paraId="45C78CB5">
      <w:pPr>
        <w:spacing w:line="590" w:lineRule="exact"/>
        <w:ind w:firstLine="560" w:firstLineChars="200"/>
        <w:rPr>
          <w:rFonts w:hint="eastAsia" w:ascii="方正仿宋_GBK" w:eastAsia="方正仿宋_GBK"/>
          <w:sz w:val="28"/>
          <w:szCs w:val="28"/>
        </w:rPr>
      </w:pPr>
      <w:r>
        <w:rPr>
          <w:rFonts w:hint="eastAsia" w:ascii="方正仿宋_GBK" w:eastAsia="方正仿宋_GBK"/>
          <w:sz w:val="28"/>
          <w:szCs w:val="28"/>
        </w:rPr>
        <w:t>配合有关部门合理规划沿线两侧土地利用规划。</w:t>
      </w:r>
    </w:p>
    <w:p w14:paraId="7AA85989">
      <w:pPr>
        <w:spacing w:line="590" w:lineRule="exact"/>
        <w:ind w:firstLine="560" w:firstLineChars="200"/>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（三）落实大气污染防治措施。严格执行《南京市扬尘污染防治管理办法》（市政府令287号）和《江苏省交通重点工程施工期生态环境保护管理办法（试行）》要求，</w:t>
      </w:r>
      <w:r>
        <w:rPr>
          <w:rFonts w:hint="eastAsia" w:ascii="方正仿宋_GBK" w:hAnsi="Times New Roman" w:eastAsia="方正仿宋_GBK" w:cs="Times New Roman"/>
          <w:sz w:val="28"/>
          <w:szCs w:val="28"/>
          <w:lang w:val="en-US" w:eastAsia="zh-CN"/>
        </w:rPr>
        <w:t>本项目不设置沥青拌</w:t>
      </w:r>
      <w:r>
        <w:rPr>
          <w:rFonts w:hint="eastAsia" w:ascii="方正仿宋_GBK" w:eastAsia="方正仿宋_GBK" w:cs="Times New Roman"/>
          <w:sz w:val="28"/>
          <w:szCs w:val="28"/>
          <w:lang w:val="en-US" w:eastAsia="zh-CN"/>
        </w:rPr>
        <w:t>和</w:t>
      </w:r>
      <w:r>
        <w:rPr>
          <w:rFonts w:hint="eastAsia" w:ascii="方正仿宋_GBK" w:hAnsi="Times New Roman" w:eastAsia="方正仿宋_GBK" w:cs="Times New Roman"/>
          <w:sz w:val="28"/>
          <w:szCs w:val="28"/>
          <w:lang w:val="en-US" w:eastAsia="zh-CN"/>
        </w:rPr>
        <w:t>站、混凝土拌</w:t>
      </w:r>
      <w:r>
        <w:rPr>
          <w:rFonts w:hint="eastAsia" w:ascii="方正仿宋_GBK" w:eastAsia="方正仿宋_GBK" w:cs="Times New Roman"/>
          <w:sz w:val="28"/>
          <w:szCs w:val="28"/>
          <w:lang w:val="en-US" w:eastAsia="zh-CN"/>
        </w:rPr>
        <w:t>和</w:t>
      </w:r>
      <w:r>
        <w:rPr>
          <w:rFonts w:hint="eastAsia" w:ascii="方正仿宋_GBK" w:hAnsi="Times New Roman" w:eastAsia="方正仿宋_GBK" w:cs="Times New Roman"/>
          <w:sz w:val="28"/>
          <w:szCs w:val="28"/>
          <w:lang w:val="en-US" w:eastAsia="zh-CN"/>
        </w:rPr>
        <w:t>站、水稳拌</w:t>
      </w:r>
      <w:r>
        <w:rPr>
          <w:rFonts w:hint="eastAsia" w:ascii="方正仿宋_GBK" w:eastAsia="方正仿宋_GBK" w:cs="Times New Roman"/>
          <w:sz w:val="28"/>
          <w:szCs w:val="28"/>
          <w:lang w:val="en-US" w:eastAsia="zh-CN"/>
        </w:rPr>
        <w:t>和</w:t>
      </w:r>
      <w:r>
        <w:rPr>
          <w:rFonts w:hint="eastAsia" w:ascii="方正仿宋_GBK" w:hAnsi="Times New Roman" w:eastAsia="方正仿宋_GBK" w:cs="Times New Roman"/>
          <w:sz w:val="28"/>
          <w:szCs w:val="28"/>
          <w:lang w:val="en-US" w:eastAsia="zh-CN"/>
        </w:rPr>
        <w:t>站，因此无拌和过程的扬尘产生；</w:t>
      </w:r>
      <w:r>
        <w:rPr>
          <w:rFonts w:hint="eastAsia" w:ascii="方正仿宋_GBK" w:hAnsi="Times New Roman" w:eastAsia="方正仿宋_GBK" w:cs="Times New Roman"/>
          <w:sz w:val="28"/>
          <w:szCs w:val="28"/>
        </w:rPr>
        <w:t>施工场地、</w:t>
      </w:r>
      <w:r>
        <w:rPr>
          <w:rFonts w:hint="eastAsia" w:ascii="方正仿宋_GBK" w:hAnsi="Times New Roman" w:eastAsia="方正仿宋_GBK" w:cs="Times New Roman"/>
          <w:sz w:val="28"/>
          <w:szCs w:val="28"/>
          <w:lang w:eastAsia="zh-CN"/>
        </w:rPr>
        <w:t>临时堆土场和</w:t>
      </w:r>
      <w:r>
        <w:rPr>
          <w:rFonts w:hint="eastAsia" w:ascii="方正仿宋_GBK" w:hAnsi="Times New Roman" w:eastAsia="方正仿宋_GBK" w:cs="Times New Roman"/>
          <w:sz w:val="28"/>
          <w:szCs w:val="28"/>
        </w:rPr>
        <w:t>材料堆场周边设置围挡应落实防尘措施</w:t>
      </w:r>
      <w:r>
        <w:rPr>
          <w:rFonts w:hint="eastAsia" w:ascii="方正仿宋_GBK" w:hAnsi="Times New Roman" w:eastAsia="方正仿宋_GBK" w:cs="Times New Roman"/>
          <w:sz w:val="28"/>
          <w:szCs w:val="28"/>
          <w:lang w:eastAsia="zh-CN"/>
        </w:rPr>
        <w:t>；</w:t>
      </w:r>
      <w:r>
        <w:rPr>
          <w:rFonts w:hint="eastAsia" w:ascii="方正仿宋_GBK" w:hAnsi="Times New Roman" w:eastAsia="方正仿宋_GBK" w:cs="Times New Roman"/>
          <w:sz w:val="28"/>
          <w:szCs w:val="28"/>
        </w:rPr>
        <w:t>加强非道路移动工程机械管理，施工机械使用合格燃油并定期维修保养，确保达标排放；车辆驶出工地前应对车身进行冲洗。根据天气合理设置施工时间，最大限度减少扬尘。</w:t>
      </w:r>
    </w:p>
    <w:p w14:paraId="21000843">
      <w:pPr>
        <w:spacing w:line="590" w:lineRule="exact"/>
        <w:ind w:firstLine="560" w:firstLineChars="200"/>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rPr>
        <w:t>（四）落实水污染防治措施。</w:t>
      </w:r>
      <w:r>
        <w:rPr>
          <w:rFonts w:hint="eastAsia" w:ascii="方正仿宋_GBK" w:hAnsi="Times New Roman" w:eastAsia="方正仿宋_GBK" w:cs="Times New Roman"/>
          <w:sz w:val="28"/>
          <w:szCs w:val="28"/>
          <w:lang w:eastAsia="zh-CN"/>
        </w:rPr>
        <w:t>施工期</w:t>
      </w:r>
      <w:r>
        <w:rPr>
          <w:rFonts w:hint="eastAsia" w:ascii="方正仿宋_GBK" w:hAnsi="Times New Roman" w:eastAsia="方正仿宋_GBK" w:cs="Times New Roman"/>
          <w:sz w:val="28"/>
          <w:szCs w:val="28"/>
        </w:rPr>
        <w:t>施工营地生活污水</w:t>
      </w:r>
      <w:r>
        <w:rPr>
          <w:rFonts w:hint="eastAsia" w:ascii="方正仿宋_GBK" w:hAnsi="Times New Roman" w:eastAsia="方正仿宋_GBK" w:cs="Times New Roman"/>
          <w:sz w:val="28"/>
          <w:szCs w:val="28"/>
          <w:lang w:val="en-US" w:eastAsia="zh-CN"/>
        </w:rPr>
        <w:t>依托周边公共卫生间，</w:t>
      </w:r>
      <w:r>
        <w:rPr>
          <w:rFonts w:hint="default" w:ascii="方正仿宋_GBK" w:hAnsi="Times New Roman" w:eastAsia="方正仿宋_GBK" w:cs="Times New Roman"/>
          <w:sz w:val="28"/>
          <w:szCs w:val="28"/>
          <w:lang w:val="en-US" w:eastAsia="zh-CN"/>
        </w:rPr>
        <w:t>经化粪池预处理后接管排放至</w:t>
      </w:r>
      <w:r>
        <w:rPr>
          <w:rFonts w:hint="eastAsia" w:ascii="方正仿宋_GBK" w:hAnsi="Times New Roman" w:eastAsia="方正仿宋_GBK" w:cs="Times New Roman"/>
          <w:sz w:val="28"/>
          <w:szCs w:val="28"/>
          <w:lang w:val="en-US" w:eastAsia="zh-CN"/>
        </w:rPr>
        <w:t>阳江污水处理分公司</w:t>
      </w:r>
      <w:r>
        <w:rPr>
          <w:rFonts w:hint="default" w:ascii="方正仿宋_GBK" w:hAnsi="Times New Roman" w:eastAsia="方正仿宋_GBK" w:cs="Times New Roman"/>
          <w:sz w:val="28"/>
          <w:szCs w:val="28"/>
          <w:lang w:val="en-US" w:eastAsia="zh-CN"/>
        </w:rPr>
        <w:t>进行集中处理</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材料堆场堆放散货物料的堆场上部设置遮雨顶棚、四周设置围挡、底部采用防渗混凝土硬化处理或铺设防渗膜，防止雨水冲刷及下渗对水环境的影响，施工场地对水环境的影响主要是降雨冲刷建材的地表径流流入地表水系，应合理安排工期，避免雨季施工。</w:t>
      </w:r>
      <w:r>
        <w:rPr>
          <w:rFonts w:hint="eastAsia" w:ascii="方正仿宋_GBK" w:hAnsi="Times New Roman" w:eastAsia="方正仿宋_GBK" w:cs="Times New Roman"/>
          <w:sz w:val="28"/>
          <w:szCs w:val="28"/>
        </w:rPr>
        <w:t>地面径流按照《报告</w:t>
      </w:r>
      <w:r>
        <w:rPr>
          <w:rFonts w:hint="eastAsia" w:ascii="方正仿宋_GBK" w:hAnsi="Times New Roman" w:eastAsia="方正仿宋_GBK" w:cs="Times New Roman"/>
          <w:sz w:val="28"/>
          <w:szCs w:val="28"/>
          <w:lang w:eastAsia="zh-CN"/>
        </w:rPr>
        <w:t>表</w:t>
      </w:r>
      <w:r>
        <w:rPr>
          <w:rFonts w:hint="eastAsia" w:ascii="方正仿宋_GBK" w:hAnsi="Times New Roman" w:eastAsia="方正仿宋_GBK" w:cs="Times New Roman"/>
          <w:sz w:val="28"/>
          <w:szCs w:val="28"/>
        </w:rPr>
        <w:t>》要求收集</w:t>
      </w:r>
      <w:r>
        <w:rPr>
          <w:rFonts w:hint="eastAsia" w:ascii="方正仿宋_GBK" w:hAnsi="Times New Roman" w:eastAsia="方正仿宋_GBK" w:cs="Times New Roman"/>
          <w:sz w:val="28"/>
          <w:szCs w:val="28"/>
          <w:lang w:eastAsia="zh-CN"/>
        </w:rPr>
        <w:t>。</w:t>
      </w:r>
    </w:p>
    <w:p w14:paraId="09CB6462">
      <w:pPr>
        <w:spacing w:line="590" w:lineRule="exact"/>
        <w:ind w:firstLine="560" w:firstLineChars="200"/>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（五）落实固废污染防治措施。</w:t>
      </w:r>
      <w:r>
        <w:rPr>
          <w:rFonts w:hint="eastAsia" w:ascii="方正仿宋_GBK" w:hAnsi="Times New Roman" w:eastAsia="方正仿宋_GBK" w:cs="Times New Roman"/>
          <w:sz w:val="28"/>
          <w:szCs w:val="28"/>
          <w:lang w:eastAsia="zh-CN"/>
        </w:rPr>
        <w:t>建筑垃圾</w:t>
      </w:r>
      <w:r>
        <w:rPr>
          <w:rFonts w:hint="eastAsia" w:ascii="方正仿宋_GBK" w:hAnsi="Times New Roman" w:eastAsia="方正仿宋_GBK" w:cs="Times New Roman"/>
          <w:sz w:val="28"/>
          <w:szCs w:val="28"/>
          <w:lang w:val="en-US" w:eastAsia="zh-CN"/>
        </w:rPr>
        <w:t>由汽车运送至城管执法局指定地点统一处理</w:t>
      </w:r>
      <w:r>
        <w:rPr>
          <w:rFonts w:hint="eastAsia" w:ascii="方正仿宋_GBK" w:hAnsi="Times New Roman" w:eastAsia="方正仿宋_GBK" w:cs="Times New Roman"/>
          <w:sz w:val="28"/>
          <w:szCs w:val="28"/>
          <w:lang w:eastAsia="zh-CN"/>
        </w:rPr>
        <w:t>；回填土</w:t>
      </w:r>
      <w:r>
        <w:rPr>
          <w:rFonts w:hint="eastAsia" w:ascii="方正仿宋_GBK" w:hAnsi="Times New Roman" w:eastAsia="方正仿宋_GBK" w:cs="Times New Roman"/>
          <w:sz w:val="28"/>
          <w:szCs w:val="28"/>
          <w:lang w:val="en-US" w:eastAsia="zh-CN"/>
        </w:rPr>
        <w:t>一部分用于回填，其余部分由汽车运送至城管执法局指定地点统一处理；</w:t>
      </w:r>
      <w:r>
        <w:rPr>
          <w:rFonts w:hint="eastAsia" w:ascii="方正仿宋_GBK" w:hAnsi="Times New Roman" w:eastAsia="方正仿宋_GBK" w:cs="Times New Roman"/>
          <w:sz w:val="28"/>
          <w:szCs w:val="28"/>
        </w:rPr>
        <w:t>生活垃圾委托环卫部门处理</w:t>
      </w:r>
      <w:r>
        <w:rPr>
          <w:rFonts w:hint="eastAsia" w:ascii="方正仿宋_GBK" w:hAnsi="Times New Roman" w:eastAsia="方正仿宋_GBK" w:cs="Times New Roman"/>
          <w:sz w:val="28"/>
          <w:szCs w:val="28"/>
          <w:lang w:eastAsia="zh-CN"/>
        </w:rPr>
        <w:t>；</w:t>
      </w:r>
      <w:r>
        <w:rPr>
          <w:rFonts w:hint="eastAsia" w:ascii="方正仿宋_GBK" w:hAnsi="Times New Roman" w:eastAsia="方正仿宋_GBK" w:cs="Times New Roman"/>
          <w:sz w:val="28"/>
          <w:szCs w:val="28"/>
          <w:lang w:val="en-US" w:eastAsia="zh-CN"/>
        </w:rPr>
        <w:t>道路垃圾由当地环卫部门收集清理</w:t>
      </w:r>
      <w:r>
        <w:rPr>
          <w:rFonts w:hint="eastAsia" w:ascii="方正仿宋_GBK" w:hAnsi="Times New Roman" w:eastAsia="方正仿宋_GBK" w:cs="Times New Roman"/>
          <w:sz w:val="28"/>
          <w:szCs w:val="28"/>
        </w:rPr>
        <w:t>。</w:t>
      </w:r>
    </w:p>
    <w:p w14:paraId="76863BD1">
      <w:pPr>
        <w:spacing w:line="590" w:lineRule="exact"/>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六）落实环境风险防范措施。认真排查并及时消除可能存在的安全隐患，应加强管线勘测工作，明确现有燃气管道的走向、位置、埋深及与拟设计路线的相对位置关系，施工临时占地严禁占用燃气管线正上方土地并与管线保持安全距离。严格执行《报告表》提出的环境风险防范措施，加强与相关部门建立联动机制，避免发生环境污染事故。</w:t>
      </w:r>
    </w:p>
    <w:p w14:paraId="000CBB6E">
      <w:pPr>
        <w:spacing w:line="590" w:lineRule="exact"/>
        <w:ind w:firstLine="560" w:firstLineChars="200"/>
        <w:rPr>
          <w:rFonts w:hint="eastAsia" w:ascii="方正仿宋_GBK" w:eastAsia="方正仿宋_GBK"/>
          <w:sz w:val="28"/>
          <w:szCs w:val="28"/>
        </w:rPr>
      </w:pPr>
      <w:r>
        <w:rPr>
          <w:rFonts w:hint="eastAsia" w:ascii="方正仿宋_GBK" w:eastAsia="方正仿宋_GBK"/>
          <w:sz w:val="28"/>
          <w:szCs w:val="28"/>
          <w:lang w:eastAsia="zh-CN"/>
        </w:rPr>
        <w:t>四</w:t>
      </w:r>
      <w:r>
        <w:rPr>
          <w:rFonts w:hint="eastAsia" w:ascii="方正仿宋_GBK" w:eastAsia="方正仿宋_GBK"/>
          <w:sz w:val="28"/>
          <w:szCs w:val="28"/>
        </w:rPr>
        <w:t>、项目建设过程中，认真组织实施《报告</w:t>
      </w:r>
      <w:r>
        <w:rPr>
          <w:rFonts w:hint="eastAsia" w:ascii="方正仿宋_GBK" w:eastAsia="方正仿宋_GBK"/>
          <w:sz w:val="28"/>
          <w:szCs w:val="28"/>
          <w:lang w:eastAsia="zh-CN"/>
        </w:rPr>
        <w:t>表</w:t>
      </w:r>
      <w:r>
        <w:rPr>
          <w:rFonts w:hint="eastAsia" w:ascii="方正仿宋_GBK" w:eastAsia="方正仿宋_GBK"/>
          <w:sz w:val="28"/>
          <w:szCs w:val="28"/>
        </w:rPr>
        <w:t>》及本批复中提出的环境保护对策措施。污染防治设施必须与主体工程同时设计、同时施工、同时投产使用；在初步设计、施工合同、建设过程中落实防治环境污染和生态破坏的措施。项目竣工后，按照规定对配套建设的环境保护设施进行验收，未经验收或者验收不合格，不得投入生产或者使用。</w:t>
      </w:r>
    </w:p>
    <w:p w14:paraId="196FFEFF">
      <w:pPr>
        <w:spacing w:line="590" w:lineRule="exact"/>
        <w:ind w:firstLine="560" w:firstLineChars="200"/>
        <w:rPr>
          <w:rFonts w:hint="eastAsia" w:ascii="方正仿宋_GBK" w:eastAsia="方正仿宋_GBK"/>
          <w:sz w:val="28"/>
          <w:szCs w:val="28"/>
          <w:lang w:eastAsia="zh-CN"/>
        </w:rPr>
      </w:pPr>
      <w:r>
        <w:rPr>
          <w:rFonts w:hint="eastAsia" w:ascii="方正仿宋_GBK" w:eastAsia="方正仿宋_GBK"/>
          <w:sz w:val="28"/>
          <w:szCs w:val="28"/>
          <w:lang w:eastAsia="zh-CN"/>
        </w:rPr>
        <w:t>五</w:t>
      </w:r>
      <w:r>
        <w:rPr>
          <w:rFonts w:hint="eastAsia" w:ascii="方正仿宋_GBK" w:eastAsia="方正仿宋_GBK"/>
          <w:sz w:val="28"/>
          <w:szCs w:val="28"/>
        </w:rPr>
        <w:t>、环境保护设施设计、施工、验收、投入生产或者使用情况，以及《报告</w:t>
      </w:r>
      <w:r>
        <w:rPr>
          <w:rFonts w:hint="eastAsia" w:ascii="方正仿宋_GBK" w:eastAsia="方正仿宋_GBK"/>
          <w:sz w:val="28"/>
          <w:szCs w:val="28"/>
          <w:lang w:eastAsia="zh-CN"/>
        </w:rPr>
        <w:t>表</w:t>
      </w:r>
      <w:r>
        <w:rPr>
          <w:rFonts w:hint="eastAsia" w:ascii="方正仿宋_GBK" w:eastAsia="方正仿宋_GBK"/>
          <w:sz w:val="28"/>
          <w:szCs w:val="28"/>
        </w:rPr>
        <w:t>》确定的其他环境保护措施的落实情况，</w:t>
      </w:r>
      <w:r>
        <w:rPr>
          <w:rFonts w:hint="eastAsia" w:ascii="方正仿宋_GBK" w:hAnsi="方正仿宋_GBK" w:eastAsia="方正仿宋_GBK" w:cs="方正仿宋_GBK"/>
          <w:sz w:val="28"/>
          <w:szCs w:val="28"/>
        </w:rPr>
        <w:t>由南京市高淳生态环境综合行政执法局按职责负责监督检查</w:t>
      </w:r>
      <w:r>
        <w:rPr>
          <w:rFonts w:hint="eastAsia" w:ascii="方正仿宋_GBK" w:hAnsi="方正仿宋_GBK" w:eastAsia="方正仿宋_GBK" w:cs="方正仿宋_GBK"/>
          <w:sz w:val="28"/>
          <w:szCs w:val="28"/>
          <w:lang w:eastAsia="zh-CN"/>
        </w:rPr>
        <w:t>。</w:t>
      </w:r>
    </w:p>
    <w:p w14:paraId="7D2D8AE4">
      <w:pPr>
        <w:spacing w:line="590" w:lineRule="exact"/>
        <w:ind w:firstLine="562" w:firstLineChars="200"/>
        <w:rPr>
          <w:rFonts w:hint="eastAsia" w:ascii="方正仿宋_GBK" w:eastAsia="方正仿宋_GBK"/>
          <w:b/>
          <w:bCs/>
          <w:sz w:val="28"/>
          <w:szCs w:val="28"/>
        </w:rPr>
      </w:pPr>
      <w:r>
        <w:rPr>
          <w:rFonts w:hint="eastAsia" w:ascii="方正仿宋_GBK" w:eastAsia="方正仿宋_GBK"/>
          <w:b/>
          <w:bCs/>
          <w:sz w:val="28"/>
          <w:szCs w:val="28"/>
          <w:lang w:eastAsia="zh-CN"/>
        </w:rPr>
        <w:t>六</w:t>
      </w:r>
      <w:r>
        <w:rPr>
          <w:rFonts w:hint="eastAsia" w:ascii="方正仿宋_GBK" w:eastAsia="方正仿宋_GBK"/>
          <w:b/>
          <w:bCs/>
          <w:sz w:val="28"/>
          <w:szCs w:val="28"/>
        </w:rPr>
        <w:t>、本项目环境影响报告</w:t>
      </w:r>
      <w:r>
        <w:rPr>
          <w:rFonts w:hint="eastAsia" w:ascii="方正仿宋_GBK" w:eastAsia="方正仿宋_GBK"/>
          <w:b/>
          <w:bCs/>
          <w:sz w:val="28"/>
          <w:szCs w:val="28"/>
          <w:lang w:eastAsia="zh-CN"/>
        </w:rPr>
        <w:t>表</w:t>
      </w:r>
      <w:r>
        <w:rPr>
          <w:rFonts w:hint="eastAsia" w:ascii="方正仿宋_GBK" w:eastAsia="方正仿宋_GBK"/>
          <w:b/>
          <w:bCs/>
          <w:sz w:val="28"/>
          <w:szCs w:val="28"/>
        </w:rPr>
        <w:t>经批准后，项目的性质、规模、地点、采用的工艺或者防治污染、防止生态破坏的措施发生重大变动的，你单位应当重新报批环境影响报告</w:t>
      </w:r>
      <w:r>
        <w:rPr>
          <w:rFonts w:hint="eastAsia" w:ascii="方正仿宋_GBK" w:eastAsia="方正仿宋_GBK"/>
          <w:b/>
          <w:bCs/>
          <w:sz w:val="28"/>
          <w:szCs w:val="28"/>
          <w:lang w:eastAsia="zh-CN"/>
        </w:rPr>
        <w:t>表</w:t>
      </w:r>
      <w:r>
        <w:rPr>
          <w:rFonts w:hint="eastAsia" w:ascii="方正仿宋_GBK" w:eastAsia="方正仿宋_GBK"/>
          <w:b/>
          <w:bCs/>
          <w:sz w:val="28"/>
          <w:szCs w:val="28"/>
        </w:rPr>
        <w:t>。本项目环境影响报告</w:t>
      </w:r>
      <w:r>
        <w:rPr>
          <w:rFonts w:hint="eastAsia" w:ascii="方正仿宋_GBK" w:eastAsia="方正仿宋_GBK"/>
          <w:b/>
          <w:bCs/>
          <w:sz w:val="28"/>
          <w:szCs w:val="28"/>
          <w:lang w:eastAsia="zh-CN"/>
        </w:rPr>
        <w:t>表</w:t>
      </w:r>
      <w:r>
        <w:rPr>
          <w:rFonts w:hint="eastAsia" w:ascii="方正仿宋_GBK" w:eastAsia="方正仿宋_GBK"/>
          <w:b/>
          <w:bCs/>
          <w:sz w:val="28"/>
          <w:szCs w:val="28"/>
        </w:rPr>
        <w:t>自批准之日起满5年，项目方决定开工建设的，其环境影响报告</w:t>
      </w:r>
      <w:r>
        <w:rPr>
          <w:rFonts w:hint="eastAsia" w:ascii="方正仿宋_GBK" w:eastAsia="方正仿宋_GBK"/>
          <w:b/>
          <w:bCs/>
          <w:sz w:val="28"/>
          <w:szCs w:val="28"/>
          <w:lang w:eastAsia="zh-CN"/>
        </w:rPr>
        <w:t>表</w:t>
      </w:r>
      <w:r>
        <w:rPr>
          <w:rFonts w:hint="eastAsia" w:ascii="方正仿宋_GBK" w:eastAsia="方正仿宋_GBK"/>
          <w:b/>
          <w:bCs/>
          <w:sz w:val="28"/>
          <w:szCs w:val="28"/>
        </w:rPr>
        <w:t>应当报我局重新审核。</w:t>
      </w:r>
    </w:p>
    <w:p w14:paraId="7B984E91">
      <w:pPr>
        <w:spacing w:line="590" w:lineRule="exact"/>
        <w:ind w:firstLine="560" w:firstLineChars="200"/>
        <w:rPr>
          <w:rFonts w:hint="eastAsia" w:ascii="方正仿宋_GBK" w:eastAsia="方正仿宋_GBK"/>
          <w:sz w:val="28"/>
          <w:szCs w:val="28"/>
        </w:rPr>
      </w:pPr>
    </w:p>
    <w:p w14:paraId="629DA7A2">
      <w:pPr>
        <w:keepNext w:val="0"/>
        <w:keepLines w:val="0"/>
        <w:pageBreakBefore w:val="0"/>
        <w:widowControl w:val="0"/>
        <w:kinsoku/>
        <w:wordWrap/>
        <w:overflowPunct/>
        <w:topLinePunct w:val="0"/>
        <w:autoSpaceDE/>
        <w:autoSpaceDN/>
        <w:bidi w:val="0"/>
        <w:adjustRightInd/>
        <w:snapToGrid/>
        <w:spacing w:line="540" w:lineRule="exact"/>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BAA8DAB">
      <w:pPr>
        <w:keepNext w:val="0"/>
        <w:keepLines w:val="0"/>
        <w:pageBreakBefore w:val="0"/>
        <w:widowControl w:val="0"/>
        <w:kinsoku/>
        <w:wordWrap/>
        <w:overflowPunct/>
        <w:topLinePunct w:val="0"/>
        <w:autoSpaceDE/>
        <w:autoSpaceDN/>
        <w:bidi w:val="0"/>
        <w:adjustRightInd/>
        <w:snapToGrid/>
        <w:spacing w:line="540" w:lineRule="exact"/>
        <w:ind w:firstLine="6440" w:firstLineChars="2300"/>
        <w:textAlignment w:val="auto"/>
        <w:rPr>
          <w:rFonts w:ascii="方正仿宋_GBK" w:eastAsia="方正仿宋_GBK"/>
          <w:sz w:val="28"/>
          <w:szCs w:val="28"/>
        </w:rPr>
      </w:pPr>
      <w:bookmarkStart w:id="0" w:name="_GoBack"/>
      <w:bookmarkEnd w:id="0"/>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2</w:t>
      </w:r>
      <w:r>
        <w:rPr>
          <w:rFonts w:hint="eastAsia" w:ascii="方正仿宋_GBK" w:eastAsia="方正仿宋_GBK"/>
          <w:sz w:val="28"/>
        </w:rPr>
        <w:t>月</w:t>
      </w:r>
      <w:r>
        <w:rPr>
          <w:rFonts w:hint="eastAsia" w:ascii="方正仿宋_GBK" w:eastAsia="方正仿宋_GBK"/>
          <w:sz w:val="28"/>
          <w:lang w:val="en-US" w:eastAsia="zh-CN"/>
        </w:rPr>
        <w:t>9</w:t>
      </w:r>
      <w:r>
        <w:rPr>
          <w:rFonts w:hint="eastAsia" w:ascii="方正仿宋_GBK" w:eastAsia="方正仿宋_GBK"/>
          <w:sz w:val="28"/>
        </w:rPr>
        <w:t>日</w:t>
      </w:r>
    </w:p>
    <w:p w14:paraId="2502E19B">
      <w:pPr>
        <w:spacing w:line="560" w:lineRule="exact"/>
        <w:rPr>
          <w:rFonts w:ascii="方正仿宋_GBK" w:eastAsia="方正仿宋_GBK"/>
          <w:sz w:val="28"/>
          <w:szCs w:val="28"/>
        </w:rPr>
      </w:pPr>
    </w:p>
    <w:p w14:paraId="1365CB19">
      <w:pPr>
        <w:spacing w:line="560" w:lineRule="exact"/>
        <w:rPr>
          <w:rFonts w:ascii="方正仿宋_GBK" w:eastAsia="方正仿宋_GBK"/>
          <w:sz w:val="28"/>
          <w:szCs w:val="28"/>
        </w:rPr>
      </w:pPr>
      <w:r>
        <w:rPr>
          <w:rFonts w:hint="eastAsia" w:ascii="方正仿宋_GBK" w:eastAsia="方正仿宋_GBK"/>
          <w:sz w:val="28"/>
          <w:szCs w:val="28"/>
        </w:rPr>
        <w:t>抄送：南京市高淳生态环境综合行政执法局。</w:t>
      </w:r>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327C5D1-C2F9-42B5-B7F7-E304DE5695D8}"/>
  </w:font>
  <w:font w:name="Arial">
    <w:panose1 w:val="020B0604020202020204"/>
    <w:charset w:val="01"/>
    <w:family w:val="swiss"/>
    <w:pitch w:val="default"/>
    <w:sig w:usb0="E0002AFF" w:usb1="C0007843" w:usb2="00000009" w:usb3="00000000" w:csb0="400001FF" w:csb1="FFFF0000"/>
    <w:embedRegular r:id="rId2" w:fontKey="{C687A2F0-CE35-4231-B1BE-A5CC831DD83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C95A4AA-74B3-4764-8E13-1EF341524244}"/>
  </w:font>
  <w:font w:name="Symbol">
    <w:panose1 w:val="05050102010706020507"/>
    <w:charset w:val="02"/>
    <w:family w:val="roman"/>
    <w:pitch w:val="default"/>
    <w:sig w:usb0="00000000" w:usb1="00000000" w:usb2="00000000" w:usb3="00000000" w:csb0="80000000" w:csb1="00000000"/>
    <w:embedRegular r:id="rId4" w:fontKey="{F1089CDA-D3F1-4F4D-90AB-61968B476419}"/>
  </w:font>
  <w:font w:name="Calibri">
    <w:panose1 w:val="020F0502020204030204"/>
    <w:charset w:val="00"/>
    <w:family w:val="swiss"/>
    <w:pitch w:val="default"/>
    <w:sig w:usb0="E00002FF" w:usb1="4000ACFF" w:usb2="00000001" w:usb3="00000000" w:csb0="2000019F" w:csb1="00000000"/>
    <w:embedRegular r:id="rId5" w:fontKey="{0C89BF92-379A-4308-AED5-F67727B58EE6}"/>
  </w:font>
  <w:font w:name="仿宋_GB2312">
    <w:panose1 w:val="02010609030101010101"/>
    <w:charset w:val="86"/>
    <w:family w:val="roma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6" w:fontKey="{0F64AF5D-15DE-49C4-827D-B1347E838F3D}"/>
  </w:font>
  <w:font w:name="方正仿宋_GBK">
    <w:panose1 w:val="03000509000000000000"/>
    <w:charset w:val="86"/>
    <w:family w:val="script"/>
    <w:pitch w:val="default"/>
    <w:sig w:usb0="00000001" w:usb1="080E0000" w:usb2="00000000" w:usb3="00000000" w:csb0="00040000" w:csb1="00000000"/>
    <w:embedRegular r:id="rId7" w:fontKey="{8F2D9739-EA30-46B8-9010-02AB1C886D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5933B">
    <w:pPr>
      <w:pStyle w:val="5"/>
      <w:framePr w:wrap="around" w:vAnchor="text" w:hAnchor="margin" w:xAlign="center" w:y="1"/>
      <w:rPr>
        <w:rStyle w:val="9"/>
      </w:rPr>
    </w:pPr>
    <w:r>
      <w:fldChar w:fldCharType="begin"/>
    </w:r>
    <w:r>
      <w:rPr>
        <w:rStyle w:val="9"/>
      </w:rPr>
      <w:instrText xml:space="preserve">PAGE  </w:instrText>
    </w:r>
    <w:r>
      <w:fldChar w:fldCharType="separate"/>
    </w:r>
    <w:r>
      <w:rPr>
        <w:rStyle w:val="9"/>
      </w:rPr>
      <w:t>2</w:t>
    </w:r>
    <w:r>
      <w:fldChar w:fldCharType="end"/>
    </w:r>
  </w:p>
  <w:p w14:paraId="105A338B">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6B4E">
    <w:pPr>
      <w:pStyle w:val="5"/>
      <w:framePr w:wrap="around" w:vAnchor="text" w:hAnchor="margin" w:xAlign="center" w:y="1"/>
      <w:rPr>
        <w:rStyle w:val="9"/>
      </w:rPr>
    </w:pPr>
    <w:r>
      <w:fldChar w:fldCharType="begin"/>
    </w:r>
    <w:r>
      <w:rPr>
        <w:rStyle w:val="9"/>
      </w:rPr>
      <w:instrText xml:space="preserve">PAGE  </w:instrText>
    </w:r>
    <w:r>
      <w:fldChar w:fldCharType="end"/>
    </w:r>
  </w:p>
  <w:p w14:paraId="0079FCC3">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zliMDFiNDEyYzE4Y2VhYTBiYzE3YjgwM2NmN2ExOGUifQ=="/>
  </w:docVars>
  <w:rsids>
    <w:rsidRoot w:val="00BB24C4"/>
    <w:rsid w:val="00006C85"/>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A3ED7"/>
    <w:rsid w:val="000B1ACB"/>
    <w:rsid w:val="000B2C8C"/>
    <w:rsid w:val="000B5005"/>
    <w:rsid w:val="000B5928"/>
    <w:rsid w:val="000B5A61"/>
    <w:rsid w:val="000B6E50"/>
    <w:rsid w:val="000C4A57"/>
    <w:rsid w:val="000C6AFE"/>
    <w:rsid w:val="000C7CBD"/>
    <w:rsid w:val="000D0889"/>
    <w:rsid w:val="000D5029"/>
    <w:rsid w:val="000E1801"/>
    <w:rsid w:val="000E23A1"/>
    <w:rsid w:val="000E576E"/>
    <w:rsid w:val="000F082F"/>
    <w:rsid w:val="000F3DF1"/>
    <w:rsid w:val="000F527B"/>
    <w:rsid w:val="00100E88"/>
    <w:rsid w:val="00101937"/>
    <w:rsid w:val="00101FF9"/>
    <w:rsid w:val="001027A7"/>
    <w:rsid w:val="00102AFB"/>
    <w:rsid w:val="00102E78"/>
    <w:rsid w:val="00103152"/>
    <w:rsid w:val="001038F8"/>
    <w:rsid w:val="00105CEE"/>
    <w:rsid w:val="0010645F"/>
    <w:rsid w:val="00106BA3"/>
    <w:rsid w:val="00107ED9"/>
    <w:rsid w:val="00110540"/>
    <w:rsid w:val="001107A8"/>
    <w:rsid w:val="00111126"/>
    <w:rsid w:val="0011373D"/>
    <w:rsid w:val="00114062"/>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145D"/>
    <w:rsid w:val="00222EAA"/>
    <w:rsid w:val="00224564"/>
    <w:rsid w:val="00226D22"/>
    <w:rsid w:val="00231590"/>
    <w:rsid w:val="0023171C"/>
    <w:rsid w:val="00233675"/>
    <w:rsid w:val="002343F0"/>
    <w:rsid w:val="00235DC1"/>
    <w:rsid w:val="00241FF8"/>
    <w:rsid w:val="00244F8D"/>
    <w:rsid w:val="002457A7"/>
    <w:rsid w:val="00246038"/>
    <w:rsid w:val="00246AAE"/>
    <w:rsid w:val="00253990"/>
    <w:rsid w:val="00254C62"/>
    <w:rsid w:val="0026187A"/>
    <w:rsid w:val="00261952"/>
    <w:rsid w:val="00263E75"/>
    <w:rsid w:val="0026516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B4B"/>
    <w:rsid w:val="002C7001"/>
    <w:rsid w:val="002C7C44"/>
    <w:rsid w:val="002D0323"/>
    <w:rsid w:val="002D0FEF"/>
    <w:rsid w:val="002D17F3"/>
    <w:rsid w:val="002D398C"/>
    <w:rsid w:val="002E10EB"/>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8B0"/>
    <w:rsid w:val="003239B0"/>
    <w:rsid w:val="00326820"/>
    <w:rsid w:val="0032704F"/>
    <w:rsid w:val="00327B29"/>
    <w:rsid w:val="00327EE1"/>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6335"/>
    <w:rsid w:val="00387B6C"/>
    <w:rsid w:val="00390744"/>
    <w:rsid w:val="003908CA"/>
    <w:rsid w:val="00392B79"/>
    <w:rsid w:val="00392E33"/>
    <w:rsid w:val="00396DB5"/>
    <w:rsid w:val="003A31B3"/>
    <w:rsid w:val="003A70D9"/>
    <w:rsid w:val="003B136A"/>
    <w:rsid w:val="003B37D7"/>
    <w:rsid w:val="003B4427"/>
    <w:rsid w:val="003B5E7D"/>
    <w:rsid w:val="003B7EBA"/>
    <w:rsid w:val="003C1897"/>
    <w:rsid w:val="003C1EA2"/>
    <w:rsid w:val="003C23E6"/>
    <w:rsid w:val="003C302D"/>
    <w:rsid w:val="003C5D7D"/>
    <w:rsid w:val="003C72FD"/>
    <w:rsid w:val="003D06C4"/>
    <w:rsid w:val="003D55DD"/>
    <w:rsid w:val="003D57F2"/>
    <w:rsid w:val="003E2FCF"/>
    <w:rsid w:val="003E6DC1"/>
    <w:rsid w:val="003E786F"/>
    <w:rsid w:val="003F63E0"/>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A1D7F"/>
    <w:rsid w:val="004A59A8"/>
    <w:rsid w:val="004A5EC0"/>
    <w:rsid w:val="004B4007"/>
    <w:rsid w:val="004B6B52"/>
    <w:rsid w:val="004B763F"/>
    <w:rsid w:val="004C4D4A"/>
    <w:rsid w:val="004D088C"/>
    <w:rsid w:val="004D0CAF"/>
    <w:rsid w:val="004D2C85"/>
    <w:rsid w:val="004D3478"/>
    <w:rsid w:val="004D3AB7"/>
    <w:rsid w:val="004D4208"/>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A3E"/>
    <w:rsid w:val="00517E7B"/>
    <w:rsid w:val="00520A27"/>
    <w:rsid w:val="00522102"/>
    <w:rsid w:val="00526361"/>
    <w:rsid w:val="00526723"/>
    <w:rsid w:val="00527CCC"/>
    <w:rsid w:val="00532590"/>
    <w:rsid w:val="0053350E"/>
    <w:rsid w:val="00534654"/>
    <w:rsid w:val="005355B2"/>
    <w:rsid w:val="00542757"/>
    <w:rsid w:val="005446ED"/>
    <w:rsid w:val="0054544C"/>
    <w:rsid w:val="00555B61"/>
    <w:rsid w:val="00556B1D"/>
    <w:rsid w:val="0055748D"/>
    <w:rsid w:val="00557D9C"/>
    <w:rsid w:val="0056105F"/>
    <w:rsid w:val="0056308E"/>
    <w:rsid w:val="00565D48"/>
    <w:rsid w:val="00570D9E"/>
    <w:rsid w:val="00570ED2"/>
    <w:rsid w:val="0057155D"/>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90690"/>
    <w:rsid w:val="005913D1"/>
    <w:rsid w:val="00591924"/>
    <w:rsid w:val="00591B61"/>
    <w:rsid w:val="00595436"/>
    <w:rsid w:val="00595FA9"/>
    <w:rsid w:val="005A079D"/>
    <w:rsid w:val="005A0E55"/>
    <w:rsid w:val="005A253F"/>
    <w:rsid w:val="005A44A6"/>
    <w:rsid w:val="005A681B"/>
    <w:rsid w:val="005B0495"/>
    <w:rsid w:val="005B1A10"/>
    <w:rsid w:val="005B2C4B"/>
    <w:rsid w:val="005B2F5D"/>
    <w:rsid w:val="005B3353"/>
    <w:rsid w:val="005B62CE"/>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5560"/>
    <w:rsid w:val="0066698D"/>
    <w:rsid w:val="00666DFE"/>
    <w:rsid w:val="006706D4"/>
    <w:rsid w:val="00673C43"/>
    <w:rsid w:val="00673D0F"/>
    <w:rsid w:val="00681B38"/>
    <w:rsid w:val="00684539"/>
    <w:rsid w:val="0068494D"/>
    <w:rsid w:val="00686F79"/>
    <w:rsid w:val="006873A5"/>
    <w:rsid w:val="00690103"/>
    <w:rsid w:val="006924DB"/>
    <w:rsid w:val="006925EB"/>
    <w:rsid w:val="00693CC5"/>
    <w:rsid w:val="00693D74"/>
    <w:rsid w:val="00695C2F"/>
    <w:rsid w:val="00695F28"/>
    <w:rsid w:val="006B04A8"/>
    <w:rsid w:val="006B3967"/>
    <w:rsid w:val="006B40C5"/>
    <w:rsid w:val="006C123B"/>
    <w:rsid w:val="006C5284"/>
    <w:rsid w:val="006C5674"/>
    <w:rsid w:val="006C5762"/>
    <w:rsid w:val="006C67A0"/>
    <w:rsid w:val="006C7CC8"/>
    <w:rsid w:val="006D3958"/>
    <w:rsid w:val="006D46F5"/>
    <w:rsid w:val="006D49F3"/>
    <w:rsid w:val="006D5DBE"/>
    <w:rsid w:val="006D6126"/>
    <w:rsid w:val="006D62C7"/>
    <w:rsid w:val="006D6923"/>
    <w:rsid w:val="006E083C"/>
    <w:rsid w:val="006E26A4"/>
    <w:rsid w:val="006E2E61"/>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185"/>
    <w:rsid w:val="00733FEE"/>
    <w:rsid w:val="007374FE"/>
    <w:rsid w:val="00737DB2"/>
    <w:rsid w:val="007405D2"/>
    <w:rsid w:val="00746486"/>
    <w:rsid w:val="00747277"/>
    <w:rsid w:val="00752C4F"/>
    <w:rsid w:val="0076319D"/>
    <w:rsid w:val="00770B4D"/>
    <w:rsid w:val="00773250"/>
    <w:rsid w:val="00773262"/>
    <w:rsid w:val="007741D8"/>
    <w:rsid w:val="00774802"/>
    <w:rsid w:val="00774D09"/>
    <w:rsid w:val="00785048"/>
    <w:rsid w:val="00786B33"/>
    <w:rsid w:val="00791F8E"/>
    <w:rsid w:val="007A0E1A"/>
    <w:rsid w:val="007A1695"/>
    <w:rsid w:val="007A1941"/>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D44E6"/>
    <w:rsid w:val="007E0054"/>
    <w:rsid w:val="007E0A39"/>
    <w:rsid w:val="007E210D"/>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61C3F"/>
    <w:rsid w:val="008634DE"/>
    <w:rsid w:val="0086701E"/>
    <w:rsid w:val="00870533"/>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C6BA3"/>
    <w:rsid w:val="008D0150"/>
    <w:rsid w:val="008D1980"/>
    <w:rsid w:val="008D52E2"/>
    <w:rsid w:val="008D65A4"/>
    <w:rsid w:val="008E1233"/>
    <w:rsid w:val="008E3678"/>
    <w:rsid w:val="008E3A86"/>
    <w:rsid w:val="008E43E4"/>
    <w:rsid w:val="008E5E1C"/>
    <w:rsid w:val="008E60AF"/>
    <w:rsid w:val="008E6774"/>
    <w:rsid w:val="008E6A71"/>
    <w:rsid w:val="008F1D05"/>
    <w:rsid w:val="008F24C0"/>
    <w:rsid w:val="008F3CE3"/>
    <w:rsid w:val="008F5CF9"/>
    <w:rsid w:val="008F639F"/>
    <w:rsid w:val="008F658A"/>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792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A0A6A"/>
    <w:rsid w:val="00AA0FEA"/>
    <w:rsid w:val="00AA20EA"/>
    <w:rsid w:val="00AA2149"/>
    <w:rsid w:val="00AA3A7F"/>
    <w:rsid w:val="00AA3FBD"/>
    <w:rsid w:val="00AB33F3"/>
    <w:rsid w:val="00AB360B"/>
    <w:rsid w:val="00AB3B4E"/>
    <w:rsid w:val="00AB4BB5"/>
    <w:rsid w:val="00AC5A12"/>
    <w:rsid w:val="00AC60A2"/>
    <w:rsid w:val="00AD0B17"/>
    <w:rsid w:val="00AD1EE5"/>
    <w:rsid w:val="00AD2373"/>
    <w:rsid w:val="00AD2B09"/>
    <w:rsid w:val="00AD2E3D"/>
    <w:rsid w:val="00AD4BBE"/>
    <w:rsid w:val="00AE234E"/>
    <w:rsid w:val="00AE5C76"/>
    <w:rsid w:val="00AF137A"/>
    <w:rsid w:val="00AF31B7"/>
    <w:rsid w:val="00B00A93"/>
    <w:rsid w:val="00B00BD6"/>
    <w:rsid w:val="00B02812"/>
    <w:rsid w:val="00B03CA0"/>
    <w:rsid w:val="00B05DB2"/>
    <w:rsid w:val="00B122EF"/>
    <w:rsid w:val="00B12BB9"/>
    <w:rsid w:val="00B13186"/>
    <w:rsid w:val="00B214C5"/>
    <w:rsid w:val="00B2557C"/>
    <w:rsid w:val="00B2682E"/>
    <w:rsid w:val="00B27D70"/>
    <w:rsid w:val="00B27D8D"/>
    <w:rsid w:val="00B310A3"/>
    <w:rsid w:val="00B40587"/>
    <w:rsid w:val="00B4198F"/>
    <w:rsid w:val="00B437E1"/>
    <w:rsid w:val="00B4559F"/>
    <w:rsid w:val="00B4766C"/>
    <w:rsid w:val="00B5014C"/>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0FD"/>
    <w:rsid w:val="00B968D6"/>
    <w:rsid w:val="00BB0408"/>
    <w:rsid w:val="00BB24C4"/>
    <w:rsid w:val="00BB3F07"/>
    <w:rsid w:val="00BB6FFC"/>
    <w:rsid w:val="00BC1468"/>
    <w:rsid w:val="00BC1C58"/>
    <w:rsid w:val="00BC2EEB"/>
    <w:rsid w:val="00BC383A"/>
    <w:rsid w:val="00BC3D57"/>
    <w:rsid w:val="00BC664F"/>
    <w:rsid w:val="00BD6680"/>
    <w:rsid w:val="00BE240A"/>
    <w:rsid w:val="00BE2E95"/>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60AE4"/>
    <w:rsid w:val="00C61946"/>
    <w:rsid w:val="00C620DB"/>
    <w:rsid w:val="00C6288E"/>
    <w:rsid w:val="00C651CE"/>
    <w:rsid w:val="00C66759"/>
    <w:rsid w:val="00C708BE"/>
    <w:rsid w:val="00C72854"/>
    <w:rsid w:val="00C745D6"/>
    <w:rsid w:val="00C758CD"/>
    <w:rsid w:val="00C76A55"/>
    <w:rsid w:val="00C77530"/>
    <w:rsid w:val="00C77E8D"/>
    <w:rsid w:val="00C81351"/>
    <w:rsid w:val="00C8742F"/>
    <w:rsid w:val="00C92230"/>
    <w:rsid w:val="00C92A84"/>
    <w:rsid w:val="00C93DDA"/>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6EB"/>
    <w:rsid w:val="00D52FD6"/>
    <w:rsid w:val="00D5318D"/>
    <w:rsid w:val="00D6387A"/>
    <w:rsid w:val="00D67451"/>
    <w:rsid w:val="00D70808"/>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2589"/>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451E"/>
    <w:rsid w:val="00E60806"/>
    <w:rsid w:val="00E635D6"/>
    <w:rsid w:val="00E639BB"/>
    <w:rsid w:val="00E66727"/>
    <w:rsid w:val="00E7488B"/>
    <w:rsid w:val="00E74D4B"/>
    <w:rsid w:val="00E751E3"/>
    <w:rsid w:val="00E77DA6"/>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99B"/>
    <w:rsid w:val="00EF620B"/>
    <w:rsid w:val="00EF769D"/>
    <w:rsid w:val="00F04A3A"/>
    <w:rsid w:val="00F13A6A"/>
    <w:rsid w:val="00F17FC5"/>
    <w:rsid w:val="00F23984"/>
    <w:rsid w:val="00F273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94D"/>
    <w:rsid w:val="00F739AE"/>
    <w:rsid w:val="00F77D3D"/>
    <w:rsid w:val="00F812C9"/>
    <w:rsid w:val="00F82CDE"/>
    <w:rsid w:val="00F85D07"/>
    <w:rsid w:val="00F86998"/>
    <w:rsid w:val="00F86C11"/>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4458"/>
    <w:rsid w:val="00FF5F07"/>
    <w:rsid w:val="00FF60DB"/>
    <w:rsid w:val="00FF78ED"/>
    <w:rsid w:val="027D0F8C"/>
    <w:rsid w:val="03347752"/>
    <w:rsid w:val="03C6532C"/>
    <w:rsid w:val="03C80037"/>
    <w:rsid w:val="045F503D"/>
    <w:rsid w:val="07A33221"/>
    <w:rsid w:val="08112B41"/>
    <w:rsid w:val="083D7888"/>
    <w:rsid w:val="0A7B30DF"/>
    <w:rsid w:val="0A856C30"/>
    <w:rsid w:val="0A942F8F"/>
    <w:rsid w:val="0AEB62EA"/>
    <w:rsid w:val="0C856D06"/>
    <w:rsid w:val="0CBD4B33"/>
    <w:rsid w:val="0CED2F13"/>
    <w:rsid w:val="0D4475C2"/>
    <w:rsid w:val="0D5F3E1B"/>
    <w:rsid w:val="0D766D04"/>
    <w:rsid w:val="0DDC62D9"/>
    <w:rsid w:val="10055030"/>
    <w:rsid w:val="11317C74"/>
    <w:rsid w:val="11A646F0"/>
    <w:rsid w:val="11B5429E"/>
    <w:rsid w:val="125906F8"/>
    <w:rsid w:val="12BB486D"/>
    <w:rsid w:val="12C329EB"/>
    <w:rsid w:val="12F362AC"/>
    <w:rsid w:val="13060D39"/>
    <w:rsid w:val="1323348A"/>
    <w:rsid w:val="13DD25D3"/>
    <w:rsid w:val="14473C03"/>
    <w:rsid w:val="148D233B"/>
    <w:rsid w:val="14EC478F"/>
    <w:rsid w:val="15641308"/>
    <w:rsid w:val="158D0011"/>
    <w:rsid w:val="16151B02"/>
    <w:rsid w:val="16946E0D"/>
    <w:rsid w:val="173769B5"/>
    <w:rsid w:val="17837919"/>
    <w:rsid w:val="183179F9"/>
    <w:rsid w:val="187408AA"/>
    <w:rsid w:val="192F715B"/>
    <w:rsid w:val="19A773C4"/>
    <w:rsid w:val="1A166F21"/>
    <w:rsid w:val="1B18042D"/>
    <w:rsid w:val="1B1F1EE0"/>
    <w:rsid w:val="1BC358A6"/>
    <w:rsid w:val="1D130D11"/>
    <w:rsid w:val="1DCC4558"/>
    <w:rsid w:val="1E8B7219"/>
    <w:rsid w:val="1F0827F2"/>
    <w:rsid w:val="1FC71818"/>
    <w:rsid w:val="20E06F82"/>
    <w:rsid w:val="214D0EE2"/>
    <w:rsid w:val="21864E96"/>
    <w:rsid w:val="21F7445F"/>
    <w:rsid w:val="238907F2"/>
    <w:rsid w:val="2482463A"/>
    <w:rsid w:val="25020BB7"/>
    <w:rsid w:val="25854F7E"/>
    <w:rsid w:val="25B41F20"/>
    <w:rsid w:val="265336BF"/>
    <w:rsid w:val="2739456A"/>
    <w:rsid w:val="277C4535"/>
    <w:rsid w:val="27DD0338"/>
    <w:rsid w:val="281F0F8A"/>
    <w:rsid w:val="28CB19DB"/>
    <w:rsid w:val="29497AED"/>
    <w:rsid w:val="29C76BA9"/>
    <w:rsid w:val="29C93700"/>
    <w:rsid w:val="29FD6A3B"/>
    <w:rsid w:val="2A2858E9"/>
    <w:rsid w:val="2AAC78A6"/>
    <w:rsid w:val="2AF5107C"/>
    <w:rsid w:val="2B251334"/>
    <w:rsid w:val="2BA532F0"/>
    <w:rsid w:val="2BE96BB1"/>
    <w:rsid w:val="2C170D42"/>
    <w:rsid w:val="2C6A1A6B"/>
    <w:rsid w:val="2CDE6947"/>
    <w:rsid w:val="2D242FE4"/>
    <w:rsid w:val="301B1ECF"/>
    <w:rsid w:val="31B1601B"/>
    <w:rsid w:val="324616E0"/>
    <w:rsid w:val="333B2618"/>
    <w:rsid w:val="33EE423A"/>
    <w:rsid w:val="3448393C"/>
    <w:rsid w:val="34BC5095"/>
    <w:rsid w:val="35885EFD"/>
    <w:rsid w:val="360E6534"/>
    <w:rsid w:val="36562E11"/>
    <w:rsid w:val="36715BA9"/>
    <w:rsid w:val="37792224"/>
    <w:rsid w:val="382F4FD4"/>
    <w:rsid w:val="388F6D48"/>
    <w:rsid w:val="38994BB6"/>
    <w:rsid w:val="38AF2B6B"/>
    <w:rsid w:val="38E46EA7"/>
    <w:rsid w:val="393B2A2C"/>
    <w:rsid w:val="39F54152"/>
    <w:rsid w:val="3A3C5590"/>
    <w:rsid w:val="3A7E7074"/>
    <w:rsid w:val="3AA37B00"/>
    <w:rsid w:val="3AC12142"/>
    <w:rsid w:val="3BEB7E40"/>
    <w:rsid w:val="3C1E1CA2"/>
    <w:rsid w:val="3C4F079A"/>
    <w:rsid w:val="3DAE6321"/>
    <w:rsid w:val="3E1D1F5F"/>
    <w:rsid w:val="3E1F075F"/>
    <w:rsid w:val="3E253C07"/>
    <w:rsid w:val="3EAB3ACF"/>
    <w:rsid w:val="3EC05C37"/>
    <w:rsid w:val="3FB45A74"/>
    <w:rsid w:val="43D52B8D"/>
    <w:rsid w:val="43FF6B72"/>
    <w:rsid w:val="44087B85"/>
    <w:rsid w:val="450C4F1D"/>
    <w:rsid w:val="46880B6F"/>
    <w:rsid w:val="469D43C9"/>
    <w:rsid w:val="46B819C1"/>
    <w:rsid w:val="46C15698"/>
    <w:rsid w:val="473E6F89"/>
    <w:rsid w:val="48744690"/>
    <w:rsid w:val="4894040F"/>
    <w:rsid w:val="498902C4"/>
    <w:rsid w:val="49DA22FB"/>
    <w:rsid w:val="4B982A45"/>
    <w:rsid w:val="4D1F5234"/>
    <w:rsid w:val="4D405679"/>
    <w:rsid w:val="4DC0370E"/>
    <w:rsid w:val="4F166E11"/>
    <w:rsid w:val="509E315B"/>
    <w:rsid w:val="51DF4444"/>
    <w:rsid w:val="51F56754"/>
    <w:rsid w:val="54C831C7"/>
    <w:rsid w:val="555E1B24"/>
    <w:rsid w:val="56776305"/>
    <w:rsid w:val="56D758C2"/>
    <w:rsid w:val="5786769B"/>
    <w:rsid w:val="592526F4"/>
    <w:rsid w:val="59906F58"/>
    <w:rsid w:val="59B75EAA"/>
    <w:rsid w:val="59BB5797"/>
    <w:rsid w:val="59C104F3"/>
    <w:rsid w:val="59FA5B72"/>
    <w:rsid w:val="5A014176"/>
    <w:rsid w:val="5A924F1E"/>
    <w:rsid w:val="5AE34FA5"/>
    <w:rsid w:val="5B5908AF"/>
    <w:rsid w:val="5B5D7F74"/>
    <w:rsid w:val="5BB4236D"/>
    <w:rsid w:val="5C2A125B"/>
    <w:rsid w:val="5CF6051A"/>
    <w:rsid w:val="5D223DC8"/>
    <w:rsid w:val="5DD42172"/>
    <w:rsid w:val="5E2E3349"/>
    <w:rsid w:val="5E663BCD"/>
    <w:rsid w:val="5F300F3D"/>
    <w:rsid w:val="5F8A743D"/>
    <w:rsid w:val="5FAB1C81"/>
    <w:rsid w:val="62B66AFB"/>
    <w:rsid w:val="634B7131"/>
    <w:rsid w:val="638377CB"/>
    <w:rsid w:val="64A37924"/>
    <w:rsid w:val="65036A68"/>
    <w:rsid w:val="660E6C4E"/>
    <w:rsid w:val="67531A25"/>
    <w:rsid w:val="681369E6"/>
    <w:rsid w:val="681F15E7"/>
    <w:rsid w:val="68F551B3"/>
    <w:rsid w:val="69000A2F"/>
    <w:rsid w:val="698E4C21"/>
    <w:rsid w:val="6AC1775B"/>
    <w:rsid w:val="6BD44108"/>
    <w:rsid w:val="6BEE37AA"/>
    <w:rsid w:val="6C05336D"/>
    <w:rsid w:val="6D6B7D90"/>
    <w:rsid w:val="6E420F40"/>
    <w:rsid w:val="6E456235"/>
    <w:rsid w:val="6E927FAB"/>
    <w:rsid w:val="6EB2342B"/>
    <w:rsid w:val="709661BE"/>
    <w:rsid w:val="71724B36"/>
    <w:rsid w:val="71E76930"/>
    <w:rsid w:val="745D1871"/>
    <w:rsid w:val="74665049"/>
    <w:rsid w:val="74C711F7"/>
    <w:rsid w:val="75114B83"/>
    <w:rsid w:val="75823513"/>
    <w:rsid w:val="75A34452"/>
    <w:rsid w:val="76124539"/>
    <w:rsid w:val="777441B1"/>
    <w:rsid w:val="78205CFD"/>
    <w:rsid w:val="78337945"/>
    <w:rsid w:val="795F1BB7"/>
    <w:rsid w:val="79D4225B"/>
    <w:rsid w:val="7A0A2BE3"/>
    <w:rsid w:val="7A10515B"/>
    <w:rsid w:val="7A3939FA"/>
    <w:rsid w:val="7B6100D8"/>
    <w:rsid w:val="7B757DEE"/>
    <w:rsid w:val="7B9003DA"/>
    <w:rsid w:val="7D9D0B8C"/>
    <w:rsid w:val="7E45262F"/>
    <w:rsid w:val="7E553669"/>
    <w:rsid w:val="7E576D57"/>
    <w:rsid w:val="7E69410E"/>
    <w:rsid w:val="7E6E65D1"/>
    <w:rsid w:val="7EC3462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widowControl/>
      <w:spacing w:after="120"/>
      <w:jc w:val="left"/>
    </w:pPr>
  </w:style>
  <w:style w:type="paragraph" w:styleId="3">
    <w:name w:val="Body Text Indent 2"/>
    <w:basedOn w:val="1"/>
    <w:link w:val="10"/>
    <w:qFormat/>
    <w:uiPriority w:val="0"/>
    <w:pPr>
      <w:spacing w:line="400" w:lineRule="exact"/>
      <w:ind w:firstLine="560" w:firstLineChars="200"/>
    </w:pPr>
    <w:rPr>
      <w:rFonts w:eastAsia="仿宋_GB2312"/>
      <w:sz w:val="28"/>
    </w:r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 w:type="character" w:customStyle="1" w:styleId="10">
    <w:name w:val="正文文本缩进 2 Char"/>
    <w:basedOn w:val="8"/>
    <w:link w:val="3"/>
    <w:qFormat/>
    <w:uiPriority w:val="0"/>
    <w:rPr>
      <w:rFonts w:eastAsia="仿宋_GB2312"/>
      <w:kern w:val="2"/>
      <w:sz w:val="28"/>
      <w:szCs w:val="24"/>
    </w:rPr>
  </w:style>
  <w:style w:type="character" w:customStyle="1" w:styleId="11">
    <w:name w:val="页眉 Char"/>
    <w:basedOn w:val="8"/>
    <w:link w:val="6"/>
    <w:qFormat/>
    <w:uiPriority w:val="0"/>
    <w:rPr>
      <w:kern w:val="2"/>
      <w:sz w:val="18"/>
      <w:szCs w:val="18"/>
    </w:rPr>
  </w:style>
  <w:style w:type="paragraph" w:customStyle="1" w:styleId="12">
    <w:name w:val="Char Char Char1 Char Char Char Char"/>
    <w:basedOn w:val="1"/>
    <w:qFormat/>
    <w:uiPriority w:val="0"/>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4</Pages>
  <Words>1923</Words>
  <Characters>1986</Characters>
  <Lines>19</Lines>
  <Paragraphs>5</Paragraphs>
  <TotalTime>0</TotalTime>
  <ScaleCrop>false</ScaleCrop>
  <LinksUpToDate>false</LinksUpToDate>
  <CharactersWithSpaces>2031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2022-06-08T09:08:00Z</dcterms:created>
  <dc:creator>COMMON</dc:creator>
  <cp:lastModifiedBy>谨力</cp:lastModifiedBy>
  <cp:lastPrinted>2023-02-06T09:07:00Z</cp:lastPrinted>
  <dcterms:modified xsi:type="dcterms:W3CDTF">2026-02-02T01:25:02Z</dcterms:modified>
  <dc:title>关于对南京市高淳城市投资有限公司新建4万t/d</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SaveFontToCloudKey">
    <vt:lpwstr>520600559_embed</vt:lpwstr>
  </property>
  <property fmtid="{D5CDD505-2E9C-101B-9397-08002B2CF9AE}" pid="4" name="ICV">
    <vt:lpwstr>38E9777B066B4E31B08410F184D08509</vt:lpwstr>
  </property>
  <property fmtid="{D5CDD505-2E9C-101B-9397-08002B2CF9AE}" pid="5" name="KSOTemplateDocerSaveRecord">
    <vt:lpwstr>eyJoZGlkIjoiMzBjMjE0OWIyYTY5MjU2NDRkNDE4ODBmZDg5YmY0MTQiLCJ1c2VySWQiOiI2MDc5OTI0NjUifQ==</vt:lpwstr>
  </property>
</Properties>
</file>