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关于对南京铭客传动系统有限公司静等压连续压机及特种钢带生产技改项目环境影响报告表的审批意见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12</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南京铭客传动系统有限公司：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你公司报送的《南京铭客传动系统有限公司静等压连续压机及特种钢带生产技改项目环境影响报告表》（以下简称报告表）已收悉，经研究，形成如下审批意见：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江苏省南京市高淳区经济开发区桃园北路50号。该项目在现有厂房内建设，不新增建筑面积，购置加工中心、磨床、激光切割机等设备74台（套），其余为自研。对现有静等压连续压机及特种钢带生产线进行技术改造各一条，同时新增辊杆加工线与输送带生产线各一条，特种钢带生产线三条。本项目产品为静等压连续压机和相关设备、辊杆、输送带及特种钢带。项目建成后，形成年产静等压连续压机和相关设备100台（套）、辊杆30000根、输送带3.5万平方米及特种钢带500吨的生产能力。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1200万元，其中环保投资25万元。</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numPr>
          <w:ilvl w:val="0"/>
          <w:numId w:val="0"/>
        </w:numPr>
        <w:snapToGrid w:val="0"/>
        <w:spacing w:line="360" w:lineRule="auto"/>
        <w:ind w:firstLine="560" w:firstLineChars="200"/>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（二）落实水污染防治措施。按照“雨污分流、清污分流”要求建设厂区排水系统，本项目生活污水经化粪池预处理后</w:t>
      </w:r>
      <w:r>
        <w:rPr>
          <w:rFonts w:hint="eastAsia" w:ascii="方正仿宋_GBK" w:eastAsia="方正仿宋_GBK" w:cs="Times New Roman"/>
          <w:sz w:val="28"/>
          <w:szCs w:val="28"/>
          <w:lang w:val="en-US" w:eastAsia="zh-CN"/>
        </w:rPr>
        <w:t>与经</w:t>
      </w:r>
      <w:r>
        <w:rPr>
          <w:rFonts w:hint="eastAsia" w:ascii="方正仿宋_GBK" w:hAnsi="Times New Roman" w:eastAsia="方正仿宋_GBK" w:cs="Times New Roman"/>
          <w:sz w:val="28"/>
          <w:szCs w:val="28"/>
          <w:lang w:val="en-US" w:eastAsia="zh-CN"/>
        </w:rPr>
        <w:t>隔油池处理后的食堂废水一起</w:t>
      </w:r>
      <w:r>
        <w:rPr>
          <w:rFonts w:hint="default" w:ascii="方正仿宋_GBK" w:hAnsi="Times New Roman" w:eastAsia="方正仿宋_GBK" w:cs="Times New Roman"/>
          <w:sz w:val="28"/>
          <w:szCs w:val="28"/>
          <w:lang w:val="en-US" w:eastAsia="zh-CN"/>
        </w:rPr>
        <w:t>接管至南京荣泰污水处理有限公司</w:t>
      </w:r>
      <w:r>
        <w:rPr>
          <w:rFonts w:hint="eastAsia" w:ascii="方正仿宋_GBK" w:hAnsi="Times New Roman" w:eastAsia="方正仿宋_GBK" w:cs="Times New Roman"/>
          <w:sz w:val="28"/>
          <w:szCs w:val="28"/>
          <w:lang w:val="en-US" w:eastAsia="zh-CN"/>
        </w:rPr>
        <w:t>处理。废水中污染物接管排放标准执行</w:t>
      </w:r>
      <w:r>
        <w:rPr>
          <w:rFonts w:hint="default" w:ascii="方正仿宋_GBK" w:hAnsi="Times New Roman" w:eastAsia="方正仿宋_GBK" w:cs="Times New Roman"/>
          <w:sz w:val="28"/>
          <w:szCs w:val="28"/>
          <w:lang w:val="en-US" w:eastAsia="zh-CN"/>
        </w:rPr>
        <w:t>南京荣泰污水处理有限公司</w:t>
      </w:r>
      <w:r>
        <w:rPr>
          <w:rFonts w:hint="eastAsia" w:ascii="方正仿宋_GBK" w:hAnsi="Times New Roman" w:eastAsia="方正仿宋_GBK" w:cs="Times New Roman"/>
          <w:sz w:val="28"/>
          <w:szCs w:val="28"/>
          <w:lang w:val="en-US" w:eastAsia="zh-CN"/>
        </w:rPr>
        <w:t>的接管标准限值要求，即《污水综合排放标准》</w:t>
      </w:r>
      <w:r>
        <w:rPr>
          <w:rFonts w:hint="default" w:ascii="方正仿宋_GBK" w:hAnsi="Times New Roman" w:eastAsia="方正仿宋_GBK" w:cs="Times New Roman"/>
          <w:sz w:val="28"/>
          <w:szCs w:val="28"/>
          <w:lang w:val="en-US" w:eastAsia="zh-CN"/>
        </w:rPr>
        <w:t>（GB897</w:t>
      </w:r>
      <w:r>
        <w:rPr>
          <w:rFonts w:hint="eastAsia" w:ascii="方正仿宋_GBK" w:hAnsi="Times New Roman" w:eastAsia="方正仿宋_GBK" w:cs="Times New Roman"/>
          <w:sz w:val="28"/>
          <w:szCs w:val="28"/>
          <w:lang w:val="en-US" w:eastAsia="zh-CN"/>
        </w:rPr>
        <w:t>8</w:t>
      </w:r>
      <w:r>
        <w:rPr>
          <w:rFonts w:hint="default" w:ascii="方正仿宋_GBK" w:hAnsi="Times New Roman" w:eastAsia="方正仿宋_GBK" w:cs="Times New Roman"/>
          <w:sz w:val="28"/>
          <w:szCs w:val="28"/>
          <w:lang w:val="en-US" w:eastAsia="zh-CN"/>
        </w:rPr>
        <w:t>-1996）表4中三级标准，其中未列指标参照《污水排入城镇下水道水质标准》（GB/T31962-2015）表1中B等级标准</w:t>
      </w:r>
      <w:r>
        <w:rPr>
          <w:rFonts w:hint="eastAsia" w:ascii="方正仿宋_GBK" w:hAnsi="Times New Roman" w:eastAsia="方正仿宋_GBK" w:cs="Times New Roman"/>
          <w:sz w:val="28"/>
          <w:szCs w:val="28"/>
          <w:lang w:val="en-US" w:eastAsia="zh-CN"/>
        </w:rPr>
        <w:t>。</w:t>
      </w:r>
    </w:p>
    <w:p w14:paraId="4CF48F6B">
      <w:pPr>
        <w:spacing w:line="360" w:lineRule="auto"/>
        <w:ind w:firstLine="560" w:firstLineChars="200"/>
        <w:rPr>
          <w:rFonts w:hint="eastAsia" w:ascii="Times New Roman" w:hAnsi="Times New Roman" w:eastAsia="宋体" w:cs="宋体"/>
          <w:color w:val="auto"/>
          <w:kern w:val="0"/>
          <w:sz w:val="24"/>
          <w:highlight w:val="yellow"/>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本项目涂料喷涂工序有组织废气颗粒物、非甲烷总烃应执行《工业涂装工序大气污染物排放标准》（DB32/4439-2022）限值要求；加热、烧结工序有组织废气颗粒物执行《工业炉窑大气污染物排放标准》（DB32/3728-2020）限值要求，非甲烷总烃执行《工业涂装工序大气污染物排放标准》（DB32/4439-2022）限值要求；擦拭废气有组织废气非甲烷总烃应执行《大气污染物综合排放标准》（DB 32/4041-2021）限值要求。由于本项目排口为合并排口，综合考虑《工业涂装工序大气污染物排放标准》（DB32/4439-2022）中非甲烷总烃排放限值严于《大气污染物综合排放标准》（DB 32/4041-2021）限值要求，颗粒物排放限值严于《工业炉窑大气污染物排放标准》（DB32/3728-2020）限值要求。故从严执行《工业涂装工序大气污染物排放标准》（DB32/4439-2022）限值要求。</w:t>
      </w:r>
    </w:p>
    <w:p w14:paraId="52A57552">
      <w:pPr>
        <w:spacing w:line="360" w:lineRule="auto"/>
        <w:ind w:firstLine="560" w:firstLineChars="200"/>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食堂油烟废气中污染物油烟排放执行《饮食业油烟排放标准（试行）》（GB18483-2001）表2中小型规模相关要求。</w:t>
      </w:r>
    </w:p>
    <w:p w14:paraId="175C7D7C">
      <w:pPr>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厂界非甲烷总烃、颗粒物无组织排放执行《大气污染物综合排放标准》（DB 32/4041-2021）表3中限值要求，厂区内非甲烷总烃无组织排放执行《工业涂装工序大气污染物排放标准》（DB32/4439-2022）表3限值要求。</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val="en-US" w:eastAsia="zh-CN"/>
        </w:rPr>
        <w:t>（四）落实噪声污染防治措施。采取有效的隔声降噪</w:t>
      </w:r>
      <w:r>
        <w:rPr>
          <w:rFonts w:hint="eastAsia" w:ascii="方正仿宋_GBK" w:hAnsi="Times New Roman" w:eastAsia="方正仿宋_GBK" w:cs="Times New Roman"/>
          <w:b w:val="0"/>
          <w:bCs w:val="0"/>
          <w:kern w:val="2"/>
          <w:sz w:val="28"/>
          <w:szCs w:val="28"/>
          <w:lang w:val="en-US" w:eastAsia="zh-CN" w:bidi="ar-SA"/>
        </w:rPr>
        <w:t>措施、优化</w:t>
      </w:r>
      <w:r>
        <w:rPr>
          <w:rFonts w:hint="eastAsia" w:ascii="方正仿宋_GBK" w:eastAsia="方正仿宋_GBK"/>
          <w:sz w:val="28"/>
          <w:szCs w:val="28"/>
        </w:rPr>
        <w:t>设计方案及合理布局设备，确保声环境达到该区域的声功能要求，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7B80E21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本项目大气排放量：</w:t>
      </w:r>
    </w:p>
    <w:p w14:paraId="7A79FD6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有组织排放：</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0.0008</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w:t>
      </w:r>
      <w:r>
        <w:rPr>
          <w:rFonts w:hint="eastAsia" w:ascii="方正仿宋_GBK" w:eastAsia="方正仿宋_GBK" w:cs="Times New Roman"/>
          <w:sz w:val="28"/>
          <w:szCs w:val="28"/>
          <w:lang w:val="en-US" w:eastAsia="zh-CN"/>
        </w:rPr>
        <w:t>105</w:t>
      </w:r>
      <w:r>
        <w:rPr>
          <w:rFonts w:hint="eastAsia" w:ascii="方正仿宋_GBK" w:hAnsi="Times New Roman" w:eastAsia="方正仿宋_GBK" w:cs="Times New Roman"/>
          <w:sz w:val="28"/>
          <w:szCs w:val="28"/>
          <w:lang w:val="en-US" w:eastAsia="zh-CN"/>
        </w:rPr>
        <w:t>t/a；</w:t>
      </w:r>
    </w:p>
    <w:p w14:paraId="4E33DC2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无组织排放</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0.1332</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0.0052t/a。</w:t>
      </w:r>
    </w:p>
    <w:p w14:paraId="1F46779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改扩建完成后全厂排放量：</w:t>
      </w:r>
    </w:p>
    <w:p w14:paraId="113B6A2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有组织排放量：</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0.0008</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w:t>
      </w:r>
      <w:r>
        <w:rPr>
          <w:rFonts w:hint="eastAsia" w:ascii="方正仿宋_GBK" w:eastAsia="方正仿宋_GBK" w:cs="Times New Roman"/>
          <w:sz w:val="28"/>
          <w:szCs w:val="28"/>
          <w:lang w:val="en-US" w:eastAsia="zh-CN"/>
        </w:rPr>
        <w:t>105</w:t>
      </w:r>
      <w:r>
        <w:rPr>
          <w:rFonts w:hint="eastAsia" w:ascii="方正仿宋_GBK" w:hAnsi="Times New Roman" w:eastAsia="方正仿宋_GBK" w:cs="Times New Roman"/>
          <w:sz w:val="28"/>
          <w:szCs w:val="28"/>
          <w:lang w:val="en-US" w:eastAsia="zh-CN"/>
        </w:rPr>
        <w:t>t/a</w:t>
      </w:r>
      <w:r>
        <w:rPr>
          <w:rFonts w:hint="default" w:ascii="方正仿宋_GBK" w:hAnsi="Times New Roman" w:eastAsia="方正仿宋_GBK" w:cs="Times New Roman"/>
          <w:sz w:val="28"/>
          <w:szCs w:val="28"/>
          <w:lang w:val="en-US" w:eastAsia="zh-CN"/>
        </w:rPr>
        <w:t>；</w:t>
      </w:r>
    </w:p>
    <w:p w14:paraId="7809554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lang w:val="en-US" w:eastAsia="zh-CN"/>
        </w:rPr>
      </w:pPr>
      <w:r>
        <w:rPr>
          <w:rFonts w:hint="default" w:ascii="方正仿宋_GBK" w:hAnsi="Times New Roman" w:eastAsia="方正仿宋_GBK" w:cs="Times New Roman"/>
          <w:sz w:val="28"/>
          <w:szCs w:val="28"/>
          <w:lang w:val="en-US" w:eastAsia="zh-CN"/>
        </w:rPr>
        <w:t>无组织排放量：</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0.1362</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0.0052t/a。</w:t>
      </w:r>
    </w:p>
    <w:p w14:paraId="65A5354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废水：本项目水污染物（接管/排入环境）：</w:t>
      </w:r>
      <w:r>
        <w:rPr>
          <w:rFonts w:hint="default" w:ascii="方正仿宋_GBK" w:hAnsi="Times New Roman" w:eastAsia="方正仿宋_GBK" w:cs="Times New Roman"/>
          <w:sz w:val="28"/>
          <w:szCs w:val="28"/>
          <w:lang w:val="en-US" w:eastAsia="zh-CN"/>
        </w:rPr>
        <w:t>废水量≤</w:t>
      </w:r>
      <w:r>
        <w:rPr>
          <w:rFonts w:hint="eastAsia" w:ascii="方正仿宋_GBK" w:hAnsi="Times New Roman" w:eastAsia="方正仿宋_GBK" w:cs="Times New Roman"/>
          <w:sz w:val="28"/>
          <w:szCs w:val="28"/>
          <w:lang w:val="en-US" w:eastAsia="zh-CN"/>
        </w:rPr>
        <w:t>2060/2060</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废水污染物接管/排入环境量：COD≤</w:t>
      </w:r>
      <w:r>
        <w:rPr>
          <w:rFonts w:hint="eastAsia" w:ascii="方正仿宋_GBK" w:hAnsi="Times New Roman" w:eastAsia="方正仿宋_GBK" w:cs="Times New Roman"/>
          <w:sz w:val="28"/>
          <w:szCs w:val="28"/>
          <w:lang w:val="en-US" w:eastAsia="zh-CN"/>
        </w:rPr>
        <w:t>0.652/0.103</w:t>
      </w:r>
      <w:r>
        <w:rPr>
          <w:rFonts w:hint="default" w:ascii="方正仿宋_GBK" w:hAnsi="Times New Roman" w:eastAsia="方正仿宋_GBK" w:cs="Times New Roman"/>
          <w:sz w:val="28"/>
          <w:szCs w:val="28"/>
          <w:lang w:val="en-US" w:eastAsia="zh-CN"/>
        </w:rPr>
        <w:t>t/a、SS≤</w:t>
      </w:r>
      <w:r>
        <w:rPr>
          <w:rFonts w:hint="eastAsia" w:ascii="方正仿宋_GBK" w:hAnsi="Times New Roman" w:eastAsia="方正仿宋_GBK" w:cs="Times New Roman"/>
          <w:sz w:val="28"/>
          <w:szCs w:val="28"/>
          <w:lang w:val="en-US" w:eastAsia="zh-CN"/>
        </w:rPr>
        <w:t>0.497/0.021</w:t>
      </w:r>
      <w:r>
        <w:rPr>
          <w:rFonts w:hint="default" w:ascii="方正仿宋_GBK" w:hAnsi="Times New Roman" w:eastAsia="方正仿宋_GBK" w:cs="Times New Roman"/>
          <w:sz w:val="28"/>
          <w:szCs w:val="28"/>
          <w:lang w:val="en-US" w:eastAsia="zh-CN"/>
        </w:rPr>
        <w:t>t/a、NH</w:t>
      </w:r>
      <w:r>
        <w:rPr>
          <w:rFonts w:hint="default" w:ascii="方正仿宋_GBK" w:hAnsi="Times New Roman" w:eastAsia="方正仿宋_GBK" w:cs="Times New Roman"/>
          <w:sz w:val="28"/>
          <w:szCs w:val="28"/>
          <w:vertAlign w:val="subscript"/>
          <w:lang w:val="en-US" w:eastAsia="zh-CN"/>
        </w:rPr>
        <w:t>3</w:t>
      </w:r>
      <w:r>
        <w:rPr>
          <w:rFonts w:hint="default" w:ascii="方正仿宋_GBK" w:hAnsi="Times New Roman" w:eastAsia="方正仿宋_GBK" w:cs="Times New Roman"/>
          <w:sz w:val="28"/>
          <w:szCs w:val="28"/>
          <w:lang w:val="en-US" w:eastAsia="zh-CN"/>
        </w:rPr>
        <w:t>-N≤</w:t>
      </w:r>
      <w:r>
        <w:rPr>
          <w:rFonts w:hint="eastAsia" w:ascii="方正仿宋_GBK" w:hAnsi="Times New Roman" w:eastAsia="方正仿宋_GBK" w:cs="Times New Roman"/>
          <w:sz w:val="28"/>
          <w:szCs w:val="28"/>
          <w:lang w:val="en-US" w:eastAsia="zh-CN"/>
        </w:rPr>
        <w:t>0.064/0.016</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T</w:t>
      </w:r>
      <w:r>
        <w:rPr>
          <w:rFonts w:hint="default" w:ascii="方正仿宋_GBK" w:hAnsi="Times New Roman" w:eastAsia="方正仿宋_GBK" w:cs="Times New Roman"/>
          <w:sz w:val="28"/>
          <w:szCs w:val="28"/>
          <w:lang w:val="en-US" w:eastAsia="zh-CN"/>
        </w:rPr>
        <w:t>P≤</w:t>
      </w:r>
      <w:r>
        <w:rPr>
          <w:rFonts w:hint="eastAsia" w:ascii="方正仿宋_GBK" w:hAnsi="Times New Roman" w:eastAsia="方正仿宋_GBK" w:cs="Times New Roman"/>
          <w:sz w:val="28"/>
          <w:szCs w:val="28"/>
          <w:lang w:val="en-US" w:eastAsia="zh-CN"/>
        </w:rPr>
        <w:t>0.0087/0.001</w:t>
      </w:r>
      <w:r>
        <w:rPr>
          <w:rFonts w:hint="default" w:ascii="方正仿宋_GBK" w:hAnsi="Times New Roman" w:eastAsia="方正仿宋_GBK" w:cs="Times New Roman"/>
          <w:sz w:val="28"/>
          <w:szCs w:val="28"/>
          <w:lang w:val="en-US" w:eastAsia="zh-CN"/>
        </w:rPr>
        <w:t>t/a、TN≤</w:t>
      </w:r>
      <w:r>
        <w:rPr>
          <w:rFonts w:hint="eastAsia" w:ascii="方正仿宋_GBK" w:hAnsi="Times New Roman" w:eastAsia="方正仿宋_GBK" w:cs="Times New Roman"/>
          <w:sz w:val="28"/>
          <w:szCs w:val="28"/>
          <w:lang w:val="en-US" w:eastAsia="zh-CN"/>
        </w:rPr>
        <w:t>0.088/0.031</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、动植物油</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0.013/0.002</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w:t>
      </w:r>
    </w:p>
    <w:p w14:paraId="6A47B624">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改扩建完成后全厂水污染物（接管/排入环境）：</w:t>
      </w:r>
      <w:r>
        <w:rPr>
          <w:rFonts w:hint="default" w:ascii="方正仿宋_GBK" w:hAnsi="Times New Roman" w:eastAsia="方正仿宋_GBK" w:cs="Times New Roman"/>
          <w:sz w:val="28"/>
          <w:szCs w:val="28"/>
          <w:lang w:val="en-US" w:eastAsia="zh-CN"/>
        </w:rPr>
        <w:t>废水量≤</w:t>
      </w:r>
      <w:r>
        <w:rPr>
          <w:rFonts w:hint="eastAsia" w:ascii="方正仿宋_GBK" w:hAnsi="Times New Roman" w:eastAsia="方正仿宋_GBK" w:cs="Times New Roman"/>
          <w:sz w:val="28"/>
          <w:szCs w:val="28"/>
          <w:lang w:val="en-US" w:eastAsia="zh-CN"/>
        </w:rPr>
        <w:t>2510/2510</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废水污染物接管/排入环境量：COD≤</w:t>
      </w:r>
      <w:r>
        <w:rPr>
          <w:rFonts w:hint="eastAsia" w:ascii="方正仿宋_GBK" w:hAnsi="Times New Roman" w:eastAsia="方正仿宋_GBK" w:cs="Times New Roman"/>
          <w:sz w:val="28"/>
          <w:szCs w:val="28"/>
          <w:lang w:val="en-US" w:eastAsia="zh-CN"/>
        </w:rPr>
        <w:t>0.722/0.126</w:t>
      </w:r>
      <w:r>
        <w:rPr>
          <w:rFonts w:hint="default" w:ascii="方正仿宋_GBK" w:hAnsi="Times New Roman" w:eastAsia="方正仿宋_GBK" w:cs="Times New Roman"/>
          <w:sz w:val="28"/>
          <w:szCs w:val="28"/>
          <w:lang w:val="en-US" w:eastAsia="zh-CN"/>
        </w:rPr>
        <w:t>t/a、SS≤</w:t>
      </w:r>
      <w:r>
        <w:rPr>
          <w:rFonts w:hint="eastAsia" w:ascii="方正仿宋_GBK" w:hAnsi="Times New Roman" w:eastAsia="方正仿宋_GBK" w:cs="Times New Roman"/>
          <w:sz w:val="28"/>
          <w:szCs w:val="28"/>
          <w:lang w:val="en-US" w:eastAsia="zh-CN"/>
        </w:rPr>
        <w:t>0.511/0.026</w:t>
      </w:r>
      <w:r>
        <w:rPr>
          <w:rFonts w:hint="default" w:ascii="方正仿宋_GBK" w:hAnsi="Times New Roman" w:eastAsia="方正仿宋_GBK" w:cs="Times New Roman"/>
          <w:sz w:val="28"/>
          <w:szCs w:val="28"/>
          <w:lang w:val="en-US" w:eastAsia="zh-CN"/>
        </w:rPr>
        <w:t>t/a、NH</w:t>
      </w:r>
      <w:r>
        <w:rPr>
          <w:rFonts w:hint="default" w:ascii="方正仿宋_GBK" w:hAnsi="Times New Roman" w:eastAsia="方正仿宋_GBK" w:cs="Times New Roman"/>
          <w:sz w:val="28"/>
          <w:szCs w:val="28"/>
          <w:vertAlign w:val="subscript"/>
          <w:lang w:val="en-US" w:eastAsia="zh-CN"/>
        </w:rPr>
        <w:t>3</w:t>
      </w:r>
      <w:r>
        <w:rPr>
          <w:rFonts w:hint="default" w:ascii="方正仿宋_GBK" w:hAnsi="Times New Roman" w:eastAsia="方正仿宋_GBK" w:cs="Times New Roman"/>
          <w:sz w:val="28"/>
          <w:szCs w:val="28"/>
          <w:lang w:val="en-US" w:eastAsia="zh-CN"/>
        </w:rPr>
        <w:t>-N≤</w:t>
      </w:r>
      <w:r>
        <w:rPr>
          <w:rFonts w:hint="eastAsia" w:ascii="方正仿宋_GBK" w:hAnsi="Times New Roman" w:eastAsia="方正仿宋_GBK" w:cs="Times New Roman"/>
          <w:sz w:val="28"/>
          <w:szCs w:val="28"/>
          <w:lang w:val="en-US" w:eastAsia="zh-CN"/>
        </w:rPr>
        <w:t>0.083/0.020</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T</w:t>
      </w:r>
      <w:r>
        <w:rPr>
          <w:rFonts w:hint="default" w:ascii="方正仿宋_GBK" w:hAnsi="Times New Roman" w:eastAsia="方正仿宋_GBK" w:cs="Times New Roman"/>
          <w:sz w:val="28"/>
          <w:szCs w:val="28"/>
          <w:lang w:val="en-US" w:eastAsia="zh-CN"/>
        </w:rPr>
        <w:t>P≤</w:t>
      </w:r>
      <w:r>
        <w:rPr>
          <w:rFonts w:hint="eastAsia" w:ascii="方正仿宋_GBK" w:hAnsi="Times New Roman" w:eastAsia="方正仿宋_GBK" w:cs="Times New Roman"/>
          <w:sz w:val="28"/>
          <w:szCs w:val="28"/>
          <w:lang w:val="en-US" w:eastAsia="zh-CN"/>
        </w:rPr>
        <w:t>0.0119/0.0012</w:t>
      </w:r>
      <w:r>
        <w:rPr>
          <w:rFonts w:hint="default" w:ascii="方正仿宋_GBK" w:hAnsi="Times New Roman" w:eastAsia="方正仿宋_GBK" w:cs="Times New Roman"/>
          <w:sz w:val="28"/>
          <w:szCs w:val="28"/>
          <w:lang w:val="en-US" w:eastAsia="zh-CN"/>
        </w:rPr>
        <w:t>t/a、TN≤</w:t>
      </w:r>
      <w:r>
        <w:rPr>
          <w:rFonts w:hint="eastAsia" w:ascii="方正仿宋_GBK" w:hAnsi="Times New Roman" w:eastAsia="方正仿宋_GBK" w:cs="Times New Roman"/>
          <w:sz w:val="28"/>
          <w:szCs w:val="28"/>
          <w:lang w:val="en-US" w:eastAsia="zh-CN"/>
        </w:rPr>
        <w:t>0.0107/0.038</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、动植物油</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0.0134/0.0024</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5"/>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2</w:t>
      </w:r>
      <w:r>
        <w:rPr>
          <w:rFonts w:hint="eastAsia" w:ascii="方正仿宋_GBK" w:eastAsia="方正仿宋_GBK"/>
          <w:sz w:val="28"/>
        </w:rPr>
        <w:t>月</w:t>
      </w:r>
      <w:r>
        <w:rPr>
          <w:rFonts w:hint="eastAsia" w:ascii="方正仿宋_GBK" w:eastAsia="方正仿宋_GBK"/>
          <w:sz w:val="28"/>
          <w:lang w:val="en-US" w:eastAsia="zh-CN"/>
        </w:rPr>
        <w:t>27</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bookmarkStart w:id="0" w:name="_GoBack"/>
      <w:bookmarkEnd w:id="0"/>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2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64B4C0-A59B-4994-9EB7-3500B539E8FB}"/>
  </w:font>
  <w:font w:name="Arial">
    <w:panose1 w:val="020B0604020202020204"/>
    <w:charset w:val="01"/>
    <w:family w:val="swiss"/>
    <w:pitch w:val="default"/>
    <w:sig w:usb0="E0002AFF" w:usb1="C0007843" w:usb2="00000009" w:usb3="00000000" w:csb0="400001FF" w:csb1="FFFF0000"/>
    <w:embedRegular r:id="rId2" w:fontKey="{CCF21B16-5648-4C0A-9AC2-DA34675A3B6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1208E9F-210F-4792-8548-A1B9835032B7}"/>
  </w:font>
  <w:font w:name="Symbol">
    <w:panose1 w:val="05050102010706020507"/>
    <w:charset w:val="02"/>
    <w:family w:val="roman"/>
    <w:pitch w:val="default"/>
    <w:sig w:usb0="00000000" w:usb1="00000000" w:usb2="00000000" w:usb3="00000000" w:csb0="80000000" w:csb1="00000000"/>
    <w:embedRegular r:id="rId4" w:fontKey="{5B214063-91CC-4E1B-917E-C93FFEBF731D}"/>
  </w:font>
  <w:font w:name="Calibri">
    <w:panose1 w:val="020F0502020204030204"/>
    <w:charset w:val="00"/>
    <w:family w:val="swiss"/>
    <w:pitch w:val="default"/>
    <w:sig w:usb0="E00002FF" w:usb1="4000ACFF" w:usb2="00000001" w:usb3="00000000" w:csb0="2000019F" w:csb1="00000000"/>
    <w:embedRegular r:id="rId5" w:fontKey="{F053FD76-D6ED-4780-BA6A-4C06FB3583B2}"/>
  </w:font>
  <w:font w:name="Calibri Light">
    <w:panose1 w:val="020F0302020204030204"/>
    <w:charset w:val="00"/>
    <w:family w:val="swiss"/>
    <w:pitch w:val="default"/>
    <w:sig w:usb0="A00002EF" w:usb1="4000207B" w:usb2="00000000" w:usb3="00000000" w:csb0="2000019F" w:csb1="00000000"/>
    <w:embedRegular r:id="rId6" w:fontKey="{C1491A16-59F1-499F-A45B-B3D5ED83ACC4}"/>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52984348-8CBD-499A-8950-F67807E9A109}"/>
  </w:font>
  <w:font w:name="方正仿宋_GBK">
    <w:panose1 w:val="03000509000000000000"/>
    <w:charset w:val="86"/>
    <w:family w:val="script"/>
    <w:pitch w:val="default"/>
    <w:sig w:usb0="00000001" w:usb1="080E0000" w:usb2="00000000" w:usb3="00000000" w:csb0="00040000" w:csb1="00000000"/>
    <w:embedRegular r:id="rId8" w:fontKey="{58C65AF1-DDB8-43B0-A634-3BFD2945F2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5"/>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5"/>
      <w:framePr w:wrap="around" w:vAnchor="text" w:hAnchor="margin" w:xAlign="center" w:y="1"/>
      <w:rPr>
        <w:rStyle w:val="20"/>
      </w:rPr>
    </w:pPr>
    <w:r>
      <w:fldChar w:fldCharType="begin"/>
    </w:r>
    <w:r>
      <w:rPr>
        <w:rStyle w:val="20"/>
      </w:rPr>
      <w:instrText xml:space="preserve">PAGE  </w:instrText>
    </w:r>
    <w:r>
      <w:fldChar w:fldCharType="end"/>
    </w:r>
  </w:p>
  <w:p w14:paraId="52143C28">
    <w:pPr>
      <w:pStyle w:val="1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22744F4"/>
    <w:rsid w:val="226F2247"/>
    <w:rsid w:val="227619B0"/>
    <w:rsid w:val="227A3683"/>
    <w:rsid w:val="22C64F2D"/>
    <w:rsid w:val="22D4383D"/>
    <w:rsid w:val="22DB5B2F"/>
    <w:rsid w:val="235F050E"/>
    <w:rsid w:val="238907F2"/>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93F97"/>
    <w:rsid w:val="25EF22C5"/>
    <w:rsid w:val="265336BF"/>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BE4B19"/>
    <w:rsid w:val="3448393C"/>
    <w:rsid w:val="348537F5"/>
    <w:rsid w:val="34880F47"/>
    <w:rsid w:val="3495571D"/>
    <w:rsid w:val="34971A9D"/>
    <w:rsid w:val="34AA14BF"/>
    <w:rsid w:val="34BC5095"/>
    <w:rsid w:val="34C725A3"/>
    <w:rsid w:val="34CF2345"/>
    <w:rsid w:val="34FF745B"/>
    <w:rsid w:val="35623803"/>
    <w:rsid w:val="35811EF8"/>
    <w:rsid w:val="35885EFD"/>
    <w:rsid w:val="359D47A8"/>
    <w:rsid w:val="35C85D3B"/>
    <w:rsid w:val="360E6534"/>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91271C"/>
    <w:rsid w:val="3EAB3ACF"/>
    <w:rsid w:val="3EB87B15"/>
    <w:rsid w:val="3EC05C37"/>
    <w:rsid w:val="3EC95AA1"/>
    <w:rsid w:val="3EEF6792"/>
    <w:rsid w:val="3F295E0D"/>
    <w:rsid w:val="3F446ADE"/>
    <w:rsid w:val="3F654DC4"/>
    <w:rsid w:val="3F7B6678"/>
    <w:rsid w:val="3FB45A74"/>
    <w:rsid w:val="40713AEF"/>
    <w:rsid w:val="40754A75"/>
    <w:rsid w:val="40C50E75"/>
    <w:rsid w:val="40CB4805"/>
    <w:rsid w:val="415316D4"/>
    <w:rsid w:val="41770270"/>
    <w:rsid w:val="41837E3C"/>
    <w:rsid w:val="41A575DC"/>
    <w:rsid w:val="41D64DF0"/>
    <w:rsid w:val="41E73055"/>
    <w:rsid w:val="41EA0C46"/>
    <w:rsid w:val="41EB66C0"/>
    <w:rsid w:val="422F7524"/>
    <w:rsid w:val="42910F39"/>
    <w:rsid w:val="42967AF3"/>
    <w:rsid w:val="42A72356"/>
    <w:rsid w:val="435D4F55"/>
    <w:rsid w:val="435E20EE"/>
    <w:rsid w:val="436A7774"/>
    <w:rsid w:val="4380586D"/>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33A56"/>
    <w:rsid w:val="46203D36"/>
    <w:rsid w:val="46356811"/>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371778"/>
    <w:rsid w:val="4CAD53B7"/>
    <w:rsid w:val="4D0E4EE6"/>
    <w:rsid w:val="4D1F5234"/>
    <w:rsid w:val="4D405679"/>
    <w:rsid w:val="4DA8648A"/>
    <w:rsid w:val="4DB737CA"/>
    <w:rsid w:val="4DC0370E"/>
    <w:rsid w:val="4E296E9F"/>
    <w:rsid w:val="4E463507"/>
    <w:rsid w:val="4E8326E2"/>
    <w:rsid w:val="4EAC7B2A"/>
    <w:rsid w:val="4EBD00D8"/>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4680031"/>
    <w:rsid w:val="54A86D6F"/>
    <w:rsid w:val="54AA6F8B"/>
    <w:rsid w:val="54C831C7"/>
    <w:rsid w:val="55700848"/>
    <w:rsid w:val="559C217F"/>
    <w:rsid w:val="55B568E0"/>
    <w:rsid w:val="55CD4B0F"/>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3805E1"/>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BE3C02"/>
    <w:rsid w:val="63442359"/>
    <w:rsid w:val="634B7131"/>
    <w:rsid w:val="63714CC9"/>
    <w:rsid w:val="638377CB"/>
    <w:rsid w:val="638C589F"/>
    <w:rsid w:val="64512ACB"/>
    <w:rsid w:val="648800ED"/>
    <w:rsid w:val="64990483"/>
    <w:rsid w:val="64A37924"/>
    <w:rsid w:val="64BD0615"/>
    <w:rsid w:val="64CA180B"/>
    <w:rsid w:val="65036A68"/>
    <w:rsid w:val="65314B5F"/>
    <w:rsid w:val="65FF7E4F"/>
    <w:rsid w:val="66014D57"/>
    <w:rsid w:val="66222AA7"/>
    <w:rsid w:val="662F61A2"/>
    <w:rsid w:val="6630518B"/>
    <w:rsid w:val="66482351"/>
    <w:rsid w:val="6732074E"/>
    <w:rsid w:val="67400CBE"/>
    <w:rsid w:val="677A3CE3"/>
    <w:rsid w:val="67A81915"/>
    <w:rsid w:val="67C55B51"/>
    <w:rsid w:val="67D8681C"/>
    <w:rsid w:val="681369E6"/>
    <w:rsid w:val="68143268"/>
    <w:rsid w:val="681B1DDE"/>
    <w:rsid w:val="68200D07"/>
    <w:rsid w:val="682E182A"/>
    <w:rsid w:val="683E1A6D"/>
    <w:rsid w:val="68555008"/>
    <w:rsid w:val="68D230EC"/>
    <w:rsid w:val="696F0CC6"/>
    <w:rsid w:val="6A6B50A6"/>
    <w:rsid w:val="6A752492"/>
    <w:rsid w:val="6A9F07BD"/>
    <w:rsid w:val="6AB87D91"/>
    <w:rsid w:val="6AC1775B"/>
    <w:rsid w:val="6B376C47"/>
    <w:rsid w:val="6B4012C0"/>
    <w:rsid w:val="6B930763"/>
    <w:rsid w:val="6BC13703"/>
    <w:rsid w:val="6BC8789F"/>
    <w:rsid w:val="6BCE4BBB"/>
    <w:rsid w:val="6BD44108"/>
    <w:rsid w:val="6BD95C93"/>
    <w:rsid w:val="6C05336D"/>
    <w:rsid w:val="6C2B055A"/>
    <w:rsid w:val="6C313697"/>
    <w:rsid w:val="6C5507D0"/>
    <w:rsid w:val="6C5A2BED"/>
    <w:rsid w:val="6D064B23"/>
    <w:rsid w:val="6D500A5B"/>
    <w:rsid w:val="6D673814"/>
    <w:rsid w:val="6D6A5ED3"/>
    <w:rsid w:val="6D6B7D90"/>
    <w:rsid w:val="6D761CA9"/>
    <w:rsid w:val="6DDD5884"/>
    <w:rsid w:val="6E420F40"/>
    <w:rsid w:val="6E456235"/>
    <w:rsid w:val="6EBB0109"/>
    <w:rsid w:val="6EC209A2"/>
    <w:rsid w:val="6ECC3E3C"/>
    <w:rsid w:val="6EFD5AB2"/>
    <w:rsid w:val="6F4162E7"/>
    <w:rsid w:val="6FA96C76"/>
    <w:rsid w:val="707433B6"/>
    <w:rsid w:val="70B15E6F"/>
    <w:rsid w:val="70C96594"/>
    <w:rsid w:val="70CB5E68"/>
    <w:rsid w:val="70DE6A5A"/>
    <w:rsid w:val="71201CBB"/>
    <w:rsid w:val="71353C29"/>
    <w:rsid w:val="716671E2"/>
    <w:rsid w:val="71E76930"/>
    <w:rsid w:val="72477770"/>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9">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5"/>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标题 段落4级"/>
    <w:basedOn w:val="4"/>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styleId="5">
    <w:name w:val="Body Text First Indent 2"/>
    <w:basedOn w:val="6"/>
    <w:next w:val="7"/>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styleId="6">
    <w:name w:val="Body Text Indent"/>
    <w:basedOn w:val="1"/>
    <w:next w:val="5"/>
    <w:autoRedefine/>
    <w:qFormat/>
    <w:uiPriority w:val="0"/>
    <w:pPr>
      <w:spacing w:after="120"/>
      <w:ind w:left="420" w:leftChars="200"/>
    </w:pPr>
    <w:rPr>
      <w:kern w:val="0"/>
      <w:sz w:val="24"/>
      <w:szCs w:val="20"/>
    </w:rPr>
  </w:style>
  <w:style w:type="paragraph" w:styleId="7">
    <w:name w:val="Body Text First Indent"/>
    <w:basedOn w:val="1"/>
    <w:next w:val="1"/>
    <w:qFormat/>
    <w:uiPriority w:val="0"/>
    <w:pPr>
      <w:ind w:firstLine="420" w:firstLineChars="100"/>
    </w:pPr>
  </w:style>
  <w:style w:type="paragraph" w:styleId="10">
    <w:name w:val="Normal Indent"/>
    <w:basedOn w:val="1"/>
    <w:next w:val="1"/>
    <w:autoRedefine/>
    <w:qFormat/>
    <w:uiPriority w:val="0"/>
    <w:pPr>
      <w:ind w:firstLine="420"/>
    </w:pPr>
  </w:style>
  <w:style w:type="paragraph" w:styleId="11">
    <w:name w:val="annotation text"/>
    <w:basedOn w:val="1"/>
    <w:qFormat/>
    <w:uiPriority w:val="0"/>
    <w:pPr>
      <w:jc w:val="left"/>
    </w:pPr>
  </w:style>
  <w:style w:type="paragraph" w:styleId="12">
    <w:name w:val="Body Text"/>
    <w:basedOn w:val="1"/>
    <w:next w:val="1"/>
    <w:autoRedefine/>
    <w:unhideWhenUsed/>
    <w:qFormat/>
    <w:uiPriority w:val="99"/>
    <w:pPr>
      <w:widowControl/>
      <w:spacing w:after="120"/>
      <w:jc w:val="left"/>
    </w:pPr>
  </w:style>
  <w:style w:type="paragraph" w:styleId="13">
    <w:name w:val="Body Text Indent 2"/>
    <w:basedOn w:val="1"/>
    <w:link w:val="23"/>
    <w:autoRedefine/>
    <w:qFormat/>
    <w:uiPriority w:val="0"/>
    <w:pPr>
      <w:spacing w:line="400" w:lineRule="exact"/>
      <w:ind w:firstLine="560" w:firstLineChars="200"/>
    </w:pPr>
    <w:rPr>
      <w:rFonts w:eastAsia="仿宋_GB2312"/>
      <w:sz w:val="28"/>
    </w:rPr>
  </w:style>
  <w:style w:type="paragraph" w:styleId="14">
    <w:name w:val="Balloon Text"/>
    <w:basedOn w:val="1"/>
    <w:autoRedefine/>
    <w:semiHidden/>
    <w:qFormat/>
    <w:uiPriority w:val="0"/>
    <w:rPr>
      <w:sz w:val="18"/>
      <w:szCs w:val="18"/>
    </w:rPr>
  </w:style>
  <w:style w:type="paragraph" w:styleId="15">
    <w:name w:val="footer"/>
    <w:basedOn w:val="1"/>
    <w:autoRedefine/>
    <w:qFormat/>
    <w:uiPriority w:val="0"/>
    <w:pPr>
      <w:tabs>
        <w:tab w:val="center" w:pos="4153"/>
        <w:tab w:val="right" w:pos="8306"/>
      </w:tabs>
      <w:snapToGrid w:val="0"/>
      <w:jc w:val="left"/>
    </w:pPr>
    <w:rPr>
      <w:sz w:val="18"/>
      <w:szCs w:val="18"/>
    </w:rPr>
  </w:style>
  <w:style w:type="paragraph" w:styleId="16">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13"/>
    <w:autoRedefine/>
    <w:qFormat/>
    <w:uiPriority w:val="0"/>
    <w:rPr>
      <w:rFonts w:eastAsia="仿宋_GB2312"/>
      <w:kern w:val="2"/>
      <w:sz w:val="28"/>
      <w:szCs w:val="24"/>
    </w:rPr>
  </w:style>
  <w:style w:type="character" w:customStyle="1" w:styleId="24">
    <w:name w:val="页眉 Char"/>
    <w:basedOn w:val="19"/>
    <w:link w:val="16"/>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2511</Words>
  <Characters>3037</Characters>
  <Lines>16</Lines>
  <Paragraphs>4</Paragraphs>
  <TotalTime>6</TotalTime>
  <ScaleCrop>false</ScaleCrop>
  <LinksUpToDate>false</LinksUpToDate>
  <CharactersWithSpaces>3081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2026-02-10T08:06:45Z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