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8C828">
      <w:pPr>
        <w:pStyle w:val="10"/>
        <w:keepNext w:val="0"/>
        <w:keepLines w:val="0"/>
        <w:pageBreakBefore w:val="0"/>
        <w:widowControl w:val="0"/>
        <w:kinsoku/>
        <w:wordWrap/>
        <w:overflowPunct/>
        <w:topLinePunct w:val="0"/>
        <w:autoSpaceDE/>
        <w:autoSpaceDN/>
        <w:bidi w:val="0"/>
        <w:adjustRightInd/>
        <w:snapToGrid/>
        <w:spacing w:after="120" w:line="560" w:lineRule="exact"/>
        <w:textAlignment w:val="auto"/>
        <w:rPr>
          <w:rFonts w:ascii="Times New Roman" w:hAnsi="Times New Roman"/>
        </w:rPr>
      </w:pPr>
      <w:r>
        <w:rPr>
          <w:rFonts w:hint="eastAsia" w:ascii="Times New Roman" w:hAnsi="Times New Roman"/>
        </w:rPr>
        <w:t>南京市</w:t>
      </w:r>
      <w:r>
        <w:rPr>
          <w:rFonts w:hint="eastAsia" w:ascii="Times New Roman" w:hAnsi="Times New Roman"/>
          <w:lang w:val="en-US" w:eastAsia="zh-CN"/>
        </w:rPr>
        <w:t>高淳区</w:t>
      </w:r>
      <w:r>
        <w:rPr>
          <w:rFonts w:hint="eastAsia" w:ascii="Times New Roman" w:hAnsi="Times New Roman"/>
        </w:rPr>
        <w:t>关于</w:t>
      </w:r>
      <w:r>
        <w:rPr>
          <w:rFonts w:hint="eastAsia" w:ascii="Times New Roman" w:hAnsi="Times New Roman"/>
          <w:lang w:val="en-US" w:eastAsia="zh-CN"/>
        </w:rPr>
        <w:t>中央</w:t>
      </w:r>
      <w:r>
        <w:rPr>
          <w:rFonts w:hint="eastAsia" w:ascii="Times New Roman" w:hAnsi="Times New Roman"/>
        </w:rPr>
        <w:t>生态环境保护督察</w:t>
      </w:r>
    </w:p>
    <w:p w14:paraId="54F3A336">
      <w:pPr>
        <w:pStyle w:val="10"/>
        <w:keepNext w:val="0"/>
        <w:keepLines w:val="0"/>
        <w:pageBreakBefore w:val="0"/>
        <w:widowControl w:val="0"/>
        <w:kinsoku/>
        <w:wordWrap/>
        <w:overflowPunct/>
        <w:topLinePunct w:val="0"/>
        <w:autoSpaceDE/>
        <w:autoSpaceDN/>
        <w:bidi w:val="0"/>
        <w:adjustRightInd/>
        <w:snapToGrid/>
        <w:spacing w:after="120" w:line="560" w:lineRule="exact"/>
        <w:textAlignment w:val="auto"/>
        <w:rPr>
          <w:rFonts w:ascii="Times New Roman" w:hAnsi="Times New Roman"/>
        </w:rPr>
      </w:pPr>
      <w:r>
        <w:rPr>
          <w:rFonts w:hint="eastAsia" w:ascii="Times New Roman" w:hAnsi="Times New Roman"/>
        </w:rPr>
        <w:t>交办信访事项整改情况公示表</w:t>
      </w:r>
    </w:p>
    <w:tbl>
      <w:tblPr>
        <w:tblStyle w:val="8"/>
        <w:tblW w:w="5000" w:type="pct"/>
        <w:tblInd w:w="113" w:type="dxa"/>
        <w:tblLayout w:type="autofit"/>
        <w:tblCellMar>
          <w:top w:w="0" w:type="dxa"/>
          <w:left w:w="108" w:type="dxa"/>
          <w:bottom w:w="0" w:type="dxa"/>
          <w:right w:w="108" w:type="dxa"/>
        </w:tblCellMar>
      </w:tblPr>
      <w:tblGrid>
        <w:gridCol w:w="919"/>
        <w:gridCol w:w="2709"/>
        <w:gridCol w:w="1308"/>
        <w:gridCol w:w="1174"/>
        <w:gridCol w:w="2085"/>
        <w:gridCol w:w="5066"/>
        <w:gridCol w:w="913"/>
      </w:tblGrid>
      <w:tr w14:paraId="32431029">
        <w:tblPrEx>
          <w:tblCellMar>
            <w:top w:w="0" w:type="dxa"/>
            <w:left w:w="108" w:type="dxa"/>
            <w:bottom w:w="0" w:type="dxa"/>
            <w:right w:w="108" w:type="dxa"/>
          </w:tblCellMar>
        </w:tblPrEx>
        <w:trPr>
          <w:trHeight w:val="578" w:hRule="atLeast"/>
          <w:tblHeader/>
        </w:trPr>
        <w:tc>
          <w:tcPr>
            <w:tcW w:w="324" w:type="pct"/>
            <w:tcBorders>
              <w:top w:val="single" w:color="auto" w:sz="4" w:space="0"/>
              <w:left w:val="single" w:color="auto" w:sz="4" w:space="0"/>
              <w:bottom w:val="single" w:color="auto" w:sz="4" w:space="0"/>
              <w:right w:val="single" w:color="auto" w:sz="4" w:space="0"/>
            </w:tcBorders>
            <w:vAlign w:val="center"/>
          </w:tcPr>
          <w:p w14:paraId="21C9320D">
            <w:pPr>
              <w:widowControl/>
              <w:spacing w:after="120"/>
              <w:jc w:val="center"/>
              <w:rPr>
                <w:rFonts w:hint="default" w:ascii="Times New Roman" w:hAnsi="Times New Roman" w:cs="Times New Roman"/>
                <w:b/>
                <w:kern w:val="0"/>
                <w:sz w:val="22"/>
              </w:rPr>
            </w:pPr>
            <w:r>
              <w:rPr>
                <w:rFonts w:hint="default" w:ascii="Times New Roman" w:hAnsi="Times New Roman" w:cs="Times New Roman"/>
                <w:b/>
                <w:kern w:val="0"/>
                <w:sz w:val="22"/>
              </w:rPr>
              <w:t>批次和编号</w:t>
            </w:r>
          </w:p>
        </w:tc>
        <w:tc>
          <w:tcPr>
            <w:tcW w:w="955" w:type="pct"/>
            <w:tcBorders>
              <w:top w:val="single" w:color="auto" w:sz="4" w:space="0"/>
              <w:left w:val="single" w:color="auto" w:sz="4" w:space="0"/>
              <w:bottom w:val="single" w:color="auto" w:sz="4" w:space="0"/>
              <w:right w:val="single" w:color="auto" w:sz="4" w:space="0"/>
            </w:tcBorders>
            <w:vAlign w:val="center"/>
          </w:tcPr>
          <w:p w14:paraId="3E91D19F">
            <w:pPr>
              <w:widowControl/>
              <w:spacing w:after="120"/>
              <w:jc w:val="center"/>
              <w:rPr>
                <w:rFonts w:hint="default" w:ascii="Times New Roman" w:hAnsi="Times New Roman" w:cs="Times New Roman"/>
                <w:b/>
                <w:kern w:val="0"/>
                <w:sz w:val="22"/>
              </w:rPr>
            </w:pPr>
            <w:r>
              <w:rPr>
                <w:rFonts w:hint="default" w:ascii="Times New Roman" w:hAnsi="Times New Roman" w:cs="Times New Roman"/>
                <w:b/>
                <w:kern w:val="0"/>
                <w:sz w:val="22"/>
              </w:rPr>
              <w:t>受理编号及举报内容</w:t>
            </w:r>
          </w:p>
        </w:tc>
        <w:tc>
          <w:tcPr>
            <w:tcW w:w="461" w:type="pct"/>
            <w:tcBorders>
              <w:top w:val="single" w:color="auto" w:sz="4" w:space="0"/>
              <w:left w:val="single" w:color="auto" w:sz="4" w:space="0"/>
              <w:bottom w:val="single" w:color="auto" w:sz="4" w:space="0"/>
              <w:right w:val="single" w:color="auto" w:sz="4" w:space="0"/>
            </w:tcBorders>
            <w:vAlign w:val="center"/>
          </w:tcPr>
          <w:p w14:paraId="7B23A3BD">
            <w:pPr>
              <w:widowControl/>
              <w:spacing w:after="120"/>
              <w:jc w:val="center"/>
              <w:rPr>
                <w:rFonts w:hint="default" w:ascii="Times New Roman" w:hAnsi="Times New Roman" w:cs="Times New Roman"/>
                <w:b/>
                <w:kern w:val="0"/>
                <w:sz w:val="22"/>
              </w:rPr>
            </w:pPr>
            <w:r>
              <w:rPr>
                <w:rFonts w:hint="default" w:ascii="Times New Roman" w:hAnsi="Times New Roman" w:cs="Times New Roman"/>
                <w:b/>
                <w:kern w:val="0"/>
                <w:sz w:val="22"/>
              </w:rPr>
              <w:t>责任单位</w:t>
            </w:r>
          </w:p>
        </w:tc>
        <w:tc>
          <w:tcPr>
            <w:tcW w:w="414" w:type="pct"/>
            <w:tcBorders>
              <w:top w:val="single" w:color="auto" w:sz="4" w:space="0"/>
              <w:left w:val="single" w:color="auto" w:sz="4" w:space="0"/>
              <w:bottom w:val="single" w:color="auto" w:sz="4" w:space="0"/>
              <w:right w:val="single" w:color="auto" w:sz="4" w:space="0"/>
            </w:tcBorders>
            <w:vAlign w:val="center"/>
          </w:tcPr>
          <w:p w14:paraId="214D87D7">
            <w:pPr>
              <w:widowControl/>
              <w:spacing w:after="120"/>
              <w:jc w:val="center"/>
              <w:rPr>
                <w:rFonts w:hint="default" w:ascii="Times New Roman" w:hAnsi="Times New Roman" w:cs="Times New Roman"/>
                <w:b/>
                <w:kern w:val="0"/>
                <w:sz w:val="22"/>
              </w:rPr>
            </w:pPr>
            <w:r>
              <w:rPr>
                <w:rFonts w:hint="default" w:ascii="Times New Roman" w:hAnsi="Times New Roman" w:cs="Times New Roman"/>
                <w:b/>
                <w:kern w:val="0"/>
                <w:sz w:val="22"/>
              </w:rPr>
              <w:t>整改时限</w:t>
            </w:r>
          </w:p>
        </w:tc>
        <w:tc>
          <w:tcPr>
            <w:tcW w:w="735" w:type="pct"/>
            <w:tcBorders>
              <w:top w:val="single" w:color="auto" w:sz="4" w:space="0"/>
              <w:left w:val="single" w:color="auto" w:sz="4" w:space="0"/>
              <w:bottom w:val="single" w:color="auto" w:sz="4" w:space="0"/>
              <w:right w:val="single" w:color="auto" w:sz="4" w:space="0"/>
            </w:tcBorders>
            <w:vAlign w:val="center"/>
          </w:tcPr>
          <w:p w14:paraId="36611873">
            <w:pPr>
              <w:widowControl/>
              <w:spacing w:after="120"/>
              <w:jc w:val="center"/>
              <w:rPr>
                <w:rFonts w:hint="default" w:ascii="Times New Roman" w:hAnsi="Times New Roman" w:cs="Times New Roman"/>
                <w:b/>
                <w:kern w:val="0"/>
                <w:sz w:val="22"/>
              </w:rPr>
            </w:pPr>
            <w:r>
              <w:rPr>
                <w:rFonts w:hint="default" w:ascii="Times New Roman" w:hAnsi="Times New Roman" w:cs="Times New Roman"/>
                <w:b/>
                <w:kern w:val="0"/>
                <w:sz w:val="22"/>
              </w:rPr>
              <w:t>整改措施</w:t>
            </w:r>
          </w:p>
        </w:tc>
        <w:tc>
          <w:tcPr>
            <w:tcW w:w="1786" w:type="pct"/>
            <w:tcBorders>
              <w:top w:val="single" w:color="auto" w:sz="4" w:space="0"/>
              <w:left w:val="single" w:color="auto" w:sz="4" w:space="0"/>
              <w:bottom w:val="single" w:color="auto" w:sz="4" w:space="0"/>
              <w:right w:val="single" w:color="auto" w:sz="4" w:space="0"/>
            </w:tcBorders>
            <w:vAlign w:val="center"/>
          </w:tcPr>
          <w:p w14:paraId="45F3C958">
            <w:pPr>
              <w:widowControl/>
              <w:spacing w:after="120"/>
              <w:jc w:val="center"/>
              <w:rPr>
                <w:rFonts w:hint="default" w:ascii="Times New Roman" w:hAnsi="Times New Roman" w:cs="Times New Roman"/>
                <w:b/>
                <w:kern w:val="0"/>
                <w:sz w:val="22"/>
              </w:rPr>
            </w:pPr>
            <w:r>
              <w:rPr>
                <w:rFonts w:hint="default" w:ascii="Times New Roman" w:hAnsi="Times New Roman" w:cs="Times New Roman"/>
                <w:b/>
                <w:kern w:val="0"/>
                <w:sz w:val="22"/>
              </w:rPr>
              <w:t>整改完成情况</w:t>
            </w:r>
          </w:p>
        </w:tc>
        <w:tc>
          <w:tcPr>
            <w:tcW w:w="322" w:type="pct"/>
            <w:tcBorders>
              <w:top w:val="single" w:color="auto" w:sz="4" w:space="0"/>
              <w:left w:val="single" w:color="auto" w:sz="4" w:space="0"/>
              <w:bottom w:val="single" w:color="auto" w:sz="4" w:space="0"/>
              <w:right w:val="single" w:color="auto" w:sz="4" w:space="0"/>
            </w:tcBorders>
            <w:vAlign w:val="center"/>
          </w:tcPr>
          <w:p w14:paraId="34801F71">
            <w:pPr>
              <w:widowControl/>
              <w:spacing w:after="120"/>
              <w:jc w:val="center"/>
              <w:rPr>
                <w:rFonts w:hint="default" w:ascii="Times New Roman" w:hAnsi="Times New Roman" w:cs="Times New Roman"/>
                <w:b/>
                <w:kern w:val="0"/>
                <w:sz w:val="22"/>
              </w:rPr>
            </w:pPr>
            <w:r>
              <w:rPr>
                <w:rFonts w:hint="default" w:ascii="Times New Roman" w:hAnsi="Times New Roman" w:cs="Times New Roman"/>
                <w:b/>
                <w:kern w:val="0"/>
                <w:sz w:val="22"/>
              </w:rPr>
              <w:t>是否完成整改</w:t>
            </w:r>
          </w:p>
        </w:tc>
      </w:tr>
      <w:tr w14:paraId="3577332F">
        <w:tblPrEx>
          <w:tblCellMar>
            <w:top w:w="0" w:type="dxa"/>
            <w:left w:w="108" w:type="dxa"/>
            <w:bottom w:w="0" w:type="dxa"/>
            <w:right w:w="108" w:type="dxa"/>
          </w:tblCellMar>
        </w:tblPrEx>
        <w:trPr>
          <w:trHeight w:val="6636" w:hRule="atLeast"/>
        </w:trPr>
        <w:tc>
          <w:tcPr>
            <w:tcW w:w="324" w:type="pct"/>
            <w:tcBorders>
              <w:top w:val="single" w:color="auto" w:sz="4" w:space="0"/>
              <w:left w:val="single" w:color="auto" w:sz="4" w:space="0"/>
              <w:bottom w:val="single" w:color="auto" w:sz="4" w:space="0"/>
              <w:right w:val="single" w:color="auto" w:sz="4" w:space="0"/>
            </w:tcBorders>
            <w:vAlign w:val="center"/>
          </w:tcPr>
          <w:p w14:paraId="51CFD42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第十九批38号</w:t>
            </w:r>
          </w:p>
        </w:tc>
        <w:tc>
          <w:tcPr>
            <w:tcW w:w="955" w:type="pct"/>
            <w:tcBorders>
              <w:top w:val="single" w:color="auto" w:sz="4" w:space="0"/>
              <w:left w:val="single" w:color="auto" w:sz="4" w:space="0"/>
              <w:bottom w:val="single" w:color="auto" w:sz="4" w:space="0"/>
              <w:right w:val="single" w:color="auto" w:sz="4" w:space="0"/>
            </w:tcBorders>
            <w:shd w:val="clear" w:color="auto" w:fill="auto"/>
            <w:vAlign w:val="center"/>
          </w:tcPr>
          <w:p w14:paraId="2D09CA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color w:val="auto"/>
                <w:sz w:val="21"/>
                <w:szCs w:val="21"/>
                <w:highlight w:val="none"/>
              </w:rPr>
              <w:t>X3JS202411060038</w:t>
            </w:r>
            <w:r>
              <w:rPr>
                <w:rFonts w:hint="default" w:ascii="Times New Roman" w:hAnsi="Times New Roman" w:eastAsia="方正仿宋_GBK" w:cs="Times New Roman"/>
                <w:sz w:val="21"/>
                <w:szCs w:val="21"/>
              </w:rPr>
              <w:t>，南京市高淳区湖滨科技展览馆、VIP会所，建在高淳区最重要的石固湖两岸河床上，没有任何审批手续，影响了两岸整体规划，影响了生态环境。</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BB0729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高淳区人民政府</w:t>
            </w: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14:paraId="3A54550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2026年12月底前</w:t>
            </w:r>
          </w:p>
        </w:tc>
        <w:tc>
          <w:tcPr>
            <w:tcW w:w="735" w:type="pct"/>
            <w:tcBorders>
              <w:top w:val="single" w:color="auto" w:sz="4" w:space="0"/>
              <w:left w:val="single" w:color="auto" w:sz="4" w:space="0"/>
              <w:bottom w:val="single" w:color="auto" w:sz="4" w:space="0"/>
              <w:right w:val="single" w:color="auto" w:sz="4" w:space="0"/>
            </w:tcBorders>
            <w:shd w:val="clear" w:color="auto" w:fill="auto"/>
            <w:vAlign w:val="center"/>
          </w:tcPr>
          <w:p w14:paraId="5DFD2C8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完善滨湖科技展览馆建设相关审批手续。</w:t>
            </w:r>
          </w:p>
        </w:tc>
        <w:tc>
          <w:tcPr>
            <w:tcW w:w="1786" w:type="pct"/>
            <w:tcBorders>
              <w:top w:val="single" w:color="auto" w:sz="4" w:space="0"/>
              <w:left w:val="single" w:color="auto" w:sz="4" w:space="0"/>
              <w:bottom w:val="single" w:color="auto" w:sz="4" w:space="0"/>
              <w:right w:val="single" w:color="auto" w:sz="4" w:space="0"/>
            </w:tcBorders>
            <w:shd w:val="clear" w:color="auto" w:fill="auto"/>
            <w:vAlign w:val="center"/>
          </w:tcPr>
          <w:p w14:paraId="1E3924B2">
            <w:pPr>
              <w:keepNext w:val="0"/>
              <w:keepLines w:val="0"/>
              <w:pageBreakBefore w:val="0"/>
              <w:widowControl w:val="0"/>
              <w:numPr>
                <w:ilvl w:val="0"/>
                <w:numId w:val="1"/>
              </w:numPr>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2024年11月15日，明确以“零星城镇”用地的方式，调整城镇开发边界，逐步完善滨湖科技展览馆项目相关手续。</w:t>
            </w:r>
          </w:p>
          <w:p w14:paraId="68FCEC1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0" w:leftChars="0" w:firstLine="0" w:firstLineChars="0"/>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2024年12月开发区集团委托第三方服务单位编制《高淳区淳溪街道南塘村通则式地块图则》（以下简称图则）。2025年9月9日，高淳区政府批复同意《图则》。2025年11月29日，经高淳区申请，省政府批复该项目地块农用地转为建设用地。</w:t>
            </w:r>
          </w:p>
          <w:p w14:paraId="44FBECEE">
            <w:pPr>
              <w:keepNext w:val="0"/>
              <w:keepLines w:val="0"/>
              <w:pageBreakBefore w:val="0"/>
              <w:widowControl/>
              <w:numPr>
                <w:ilvl w:val="0"/>
                <w:numId w:val="1"/>
              </w:numPr>
              <w:kinsoku/>
              <w:wordWrap/>
              <w:overflowPunct/>
              <w:topLinePunct w:val="0"/>
              <w:autoSpaceDE/>
              <w:autoSpaceDN/>
              <w:bidi w:val="0"/>
              <w:adjustRightInd/>
              <w:snapToGrid/>
              <w:spacing w:line="320" w:lineRule="exact"/>
              <w:ind w:left="0" w:leftChars="0" w:firstLine="0" w:firstLineChars="0"/>
              <w:jc w:val="lef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2026年1月12日，项目取得南京市工程建设项目规划条件。2026年8月5日，项目取得国有建设用地使用权证（苏（2026）宁高不动产权第000656</w:t>
            </w:r>
            <w:r>
              <w:rPr>
                <w:rFonts w:hint="default" w:ascii="Times New Roman" w:hAnsi="Times New Roman" w:eastAsia="方正仿宋_GBK" w:cs="Times New Roman"/>
                <w:color w:val="auto"/>
                <w:sz w:val="21"/>
                <w:szCs w:val="21"/>
                <w:lang w:val="en-US" w:eastAsia="zh-CN"/>
              </w:rPr>
              <w:t>6号）。2026年8月17日，项目取得建设工程规划许可证。2026年8月24日，项目取得南京市工程建设项目规划核实合格书。2026年8月27日，项目取得房屋所有权证书。至此项目土地和手续问题已全部整改完成。</w:t>
            </w:r>
          </w:p>
        </w:tc>
        <w:tc>
          <w:tcPr>
            <w:tcW w:w="322" w:type="pct"/>
            <w:tcBorders>
              <w:top w:val="single" w:color="auto" w:sz="4" w:space="0"/>
              <w:left w:val="single" w:color="auto" w:sz="4" w:space="0"/>
              <w:bottom w:val="single" w:color="auto" w:sz="4" w:space="0"/>
              <w:right w:val="single" w:color="auto" w:sz="4" w:space="0"/>
            </w:tcBorders>
            <w:vAlign w:val="center"/>
          </w:tcPr>
          <w:p w14:paraId="569BE398">
            <w:pPr>
              <w:widowControl/>
              <w:spacing w:after="120"/>
              <w:jc w:val="center"/>
              <w:rPr>
                <w:rFonts w:hint="default" w:ascii="Times New Roman" w:hAnsi="Times New Roman" w:eastAsia="方正仿宋_GBK" w:cs="Times New Roman"/>
                <w:kern w:val="0"/>
                <w:sz w:val="21"/>
                <w:szCs w:val="21"/>
                <w:lang w:val="en-US" w:eastAsia="zh-CN"/>
              </w:rPr>
            </w:pPr>
            <w:r>
              <w:rPr>
                <w:rFonts w:hint="default" w:ascii="Times New Roman" w:hAnsi="Times New Roman" w:eastAsia="方正仿宋_GBK" w:cs="Times New Roman"/>
                <w:kern w:val="0"/>
                <w:sz w:val="21"/>
                <w:szCs w:val="21"/>
                <w:lang w:val="en-US" w:eastAsia="zh-CN"/>
              </w:rPr>
              <w:t xml:space="preserve">是 </w:t>
            </w:r>
          </w:p>
        </w:tc>
      </w:tr>
      <w:tr w14:paraId="3C85A7B5">
        <w:tblPrEx>
          <w:tblCellMar>
            <w:top w:w="0" w:type="dxa"/>
            <w:left w:w="108" w:type="dxa"/>
            <w:bottom w:w="0" w:type="dxa"/>
            <w:right w:w="108" w:type="dxa"/>
          </w:tblCellMar>
        </w:tblPrEx>
        <w:trPr>
          <w:trHeight w:val="1758" w:hRule="atLeast"/>
        </w:trPr>
        <w:tc>
          <w:tcPr>
            <w:tcW w:w="324" w:type="pct"/>
            <w:tcBorders>
              <w:top w:val="single" w:color="auto" w:sz="4" w:space="0"/>
              <w:left w:val="single" w:color="auto" w:sz="4" w:space="0"/>
              <w:bottom w:val="single" w:color="auto" w:sz="4" w:space="0"/>
              <w:right w:val="single" w:color="auto" w:sz="4" w:space="0"/>
            </w:tcBorders>
            <w:vAlign w:val="center"/>
          </w:tcPr>
          <w:p w14:paraId="38F35A4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lang w:val="en-US" w:eastAsia="zh-CN"/>
              </w:rPr>
              <w:t>第二十八批次101号</w:t>
            </w:r>
          </w:p>
        </w:tc>
        <w:tc>
          <w:tcPr>
            <w:tcW w:w="955" w:type="pct"/>
            <w:tcBorders>
              <w:top w:val="single" w:color="auto" w:sz="4" w:space="0"/>
              <w:left w:val="single" w:color="auto" w:sz="4" w:space="0"/>
              <w:bottom w:val="single" w:color="auto" w:sz="4" w:space="0"/>
              <w:right w:val="single" w:color="auto" w:sz="4" w:space="0"/>
            </w:tcBorders>
            <w:shd w:val="clear" w:color="auto" w:fill="auto"/>
            <w:vAlign w:val="center"/>
          </w:tcPr>
          <w:p w14:paraId="6ADC401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X3JS202411150027，</w:t>
            </w:r>
            <w:r>
              <w:rPr>
                <w:rFonts w:hint="default" w:ascii="Times New Roman" w:hAnsi="Times New Roman" w:eastAsia="方正仿宋_GBK" w:cs="Times New Roman"/>
                <w:sz w:val="21"/>
                <w:szCs w:val="21"/>
              </w:rPr>
              <w:t>反映人在南京市高淳区固城街道秀山村邓家和中村小组的自然田建造并经营农场，养殖的青蛙和池塘黑鱼会经常生病并死亡，农场的西边有2座遗留下来的化工企业，已关停，但后续的环境保护整治工作未到位。要求对该位置的污染源进行整治，对农场作出相应补偿</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E92D54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高淳区人民政府</w:t>
            </w: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14:paraId="3E98D1F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i w:val="0"/>
                <w:iCs w:val="0"/>
                <w:color w:val="000000"/>
                <w:kern w:val="0"/>
                <w:sz w:val="21"/>
                <w:szCs w:val="21"/>
                <w:u w:val="none"/>
                <w:lang w:val="en-US" w:eastAsia="zh-CN" w:bidi="ar"/>
              </w:rPr>
              <w:t>2025年6月底前</w:t>
            </w:r>
          </w:p>
        </w:tc>
        <w:tc>
          <w:tcPr>
            <w:tcW w:w="735" w:type="pct"/>
            <w:tcBorders>
              <w:top w:val="single" w:color="auto" w:sz="4" w:space="0"/>
              <w:left w:val="single" w:color="auto" w:sz="4" w:space="0"/>
              <w:bottom w:val="single" w:color="auto" w:sz="4" w:space="0"/>
              <w:right w:val="single" w:color="auto" w:sz="4" w:space="0"/>
            </w:tcBorders>
            <w:shd w:val="clear" w:color="auto" w:fill="auto"/>
            <w:vAlign w:val="center"/>
          </w:tcPr>
          <w:p w14:paraId="20F5B50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1.推进农场外沿线阻断沟开挖和沉淀收集池建设；清理水沟内石灰，收集于沉淀收集池，做到定期检查，结合后期工程建设，对沉淀物进行清运处置。做好日常监测，确保整治成效。</w:t>
            </w:r>
          </w:p>
          <w:p w14:paraId="2C83C7E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sz w:val="21"/>
                <w:szCs w:val="21"/>
                <w:lang w:val="en-US" w:eastAsia="zh-CN"/>
              </w:rPr>
              <w:t>2.对农场池塘水质进行采样检测，根据检测结果依法予以处理。</w:t>
            </w:r>
          </w:p>
        </w:tc>
        <w:tc>
          <w:tcPr>
            <w:tcW w:w="1786" w:type="pct"/>
            <w:tcBorders>
              <w:top w:val="single" w:color="auto" w:sz="4" w:space="0"/>
              <w:left w:val="single" w:color="auto" w:sz="4" w:space="0"/>
              <w:bottom w:val="single" w:color="auto" w:sz="4" w:space="0"/>
              <w:right w:val="single" w:color="auto" w:sz="4" w:space="0"/>
            </w:tcBorders>
            <w:shd w:val="clear" w:color="auto" w:fill="auto"/>
            <w:vAlign w:val="center"/>
          </w:tcPr>
          <w:p w14:paraId="4F1C1083">
            <w:pPr>
              <w:keepNext w:val="0"/>
              <w:keepLines w:val="0"/>
              <w:pageBreakBefore w:val="0"/>
              <w:widowControl w:val="0"/>
              <w:numPr>
                <w:numId w:val="0"/>
              </w:numPr>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 xml:space="preserve">1. </w:t>
            </w:r>
            <w:r>
              <w:rPr>
                <w:rFonts w:hint="default" w:ascii="Times New Roman" w:hAnsi="Times New Roman" w:eastAsia="方正仿宋_GBK" w:cs="Times New Roman"/>
                <w:sz w:val="21"/>
                <w:szCs w:val="21"/>
                <w:lang w:val="en-US" w:eastAsia="zh-CN"/>
              </w:rPr>
              <w:t>2024年9月至2025年4月，在农场与原高淳县鑫强碳酸钙有限公司边界沿线设置阻断沟渠和收集沉淀池，并沿阻断沟两侧进行开挖清理。共计开挖土方2219.11方，其中5.4方水泥块运至南京路港环境科技有限公司规范处置，其余土方用于秀山村道路建设，回填外购土861.9方。2025年7月3日至7月7日，对农场内部地表排水沟内石灰沉积物和地下暗管积存的含石灰废水进行清理</w:t>
            </w:r>
            <w:bookmarkStart w:id="0" w:name="_Hlk236753923"/>
            <w:r>
              <w:rPr>
                <w:rFonts w:hint="default" w:ascii="Times New Roman" w:hAnsi="Times New Roman" w:eastAsia="方正仿宋_GBK" w:cs="Times New Roman"/>
                <w:sz w:val="21"/>
                <w:szCs w:val="21"/>
                <w:lang w:val="en-US" w:eastAsia="zh-CN"/>
              </w:rPr>
              <w:t>。</w:t>
            </w:r>
          </w:p>
          <w:p w14:paraId="518BEDBE">
            <w:pPr>
              <w:keepNext w:val="0"/>
              <w:keepLines w:val="0"/>
              <w:pageBreakBefore w:val="0"/>
              <w:widowControl w:val="0"/>
              <w:numPr>
                <w:numId w:val="0"/>
              </w:numPr>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 xml:space="preserve">2. </w:t>
            </w:r>
            <w:r>
              <w:rPr>
                <w:rFonts w:hint="default" w:ascii="Times New Roman" w:hAnsi="Times New Roman" w:eastAsia="方正仿宋_GBK" w:cs="Times New Roman"/>
                <w:sz w:val="21"/>
                <w:szCs w:val="21"/>
                <w:lang w:val="en-US" w:eastAsia="zh-CN"/>
              </w:rPr>
              <w:t>2026年5月至6月，对农场西侧池塘和原三块碑建材厂区域地块进行全面探查清理，共清挖渣土混合物2922.22吨（其中石灰渣1700吨），全部运至南京路港环境科技有限公司进行规范处置。在西侧池塘区域回填种植土292.5方，对原三块碑建材厂地块依托地势进行就地整平。清理工程</w:t>
            </w:r>
            <w:r>
              <w:rPr>
                <w:rFonts w:hint="eastAsia" w:ascii="Times New Roman" w:hAnsi="Times New Roman" w:eastAsia="方正仿宋_GBK" w:cs="Times New Roman"/>
                <w:sz w:val="21"/>
                <w:szCs w:val="21"/>
                <w:lang w:val="en-US" w:eastAsia="zh-CN"/>
              </w:rPr>
              <w:t>完工后</w:t>
            </w:r>
            <w:r>
              <w:rPr>
                <w:rFonts w:hint="default" w:ascii="Times New Roman" w:hAnsi="Times New Roman" w:eastAsia="方正仿宋_GBK" w:cs="Times New Roman"/>
                <w:sz w:val="21"/>
                <w:szCs w:val="21"/>
                <w:lang w:val="en-US" w:eastAsia="zh-CN"/>
              </w:rPr>
              <w:t>对农场西侧地块土壤、农场养殖池塘水质及底泥进行检测，全部指标符合国家标准。</w:t>
            </w:r>
          </w:p>
          <w:p w14:paraId="7513BC2B">
            <w:pPr>
              <w:keepNext w:val="0"/>
              <w:keepLines w:val="0"/>
              <w:pageBreakBefore w:val="0"/>
              <w:widowControl w:val="0"/>
              <w:numPr>
                <w:numId w:val="0"/>
              </w:numPr>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sz w:val="21"/>
                <w:szCs w:val="21"/>
              </w:rPr>
            </w:pPr>
            <w:r>
              <w:rPr>
                <w:rFonts w:hint="eastAsia" w:ascii="Times New Roman" w:hAnsi="Times New Roman" w:eastAsia="方正仿宋_GBK" w:cs="Times New Roman"/>
                <w:sz w:val="21"/>
                <w:szCs w:val="21"/>
                <w:lang w:val="en-US" w:eastAsia="zh-CN"/>
              </w:rPr>
              <w:t xml:space="preserve">3. </w:t>
            </w:r>
            <w:r>
              <w:rPr>
                <w:rFonts w:hint="default" w:ascii="Times New Roman" w:hAnsi="Times New Roman" w:eastAsia="方正仿宋_GBK" w:cs="Times New Roman"/>
                <w:sz w:val="21"/>
                <w:szCs w:val="21"/>
                <w:lang w:val="en-US" w:eastAsia="zh-CN"/>
              </w:rPr>
              <w:t>2024年5月至2026年7月，共对农场外围阻断沟、农场内大池塘、西侧养鸭养鹅水塘等点位水质采样监测34次，均符合DB32/4043-2021《池塘养殖尾水排放标准》二级及以上标准。</w:t>
            </w:r>
          </w:p>
          <w:p w14:paraId="71D13C27">
            <w:pPr>
              <w:keepNext w:val="0"/>
              <w:keepLines w:val="0"/>
              <w:pageBreakBefore w:val="0"/>
              <w:widowControl w:val="0"/>
              <w:numPr>
                <w:numId w:val="0"/>
              </w:numPr>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sz w:val="21"/>
                <w:szCs w:val="21"/>
              </w:rPr>
            </w:pPr>
            <w:r>
              <w:rPr>
                <w:rFonts w:hint="eastAsia" w:ascii="Times New Roman" w:hAnsi="Times New Roman" w:eastAsia="方正仿宋_GBK" w:cs="Times New Roman"/>
                <w:sz w:val="21"/>
                <w:szCs w:val="21"/>
                <w:lang w:val="en-US" w:eastAsia="zh-CN"/>
              </w:rPr>
              <w:t xml:space="preserve">4. </w:t>
            </w:r>
            <w:r>
              <w:rPr>
                <w:rFonts w:hint="default" w:ascii="Times New Roman" w:hAnsi="Times New Roman" w:eastAsia="方正仿宋_GBK" w:cs="Times New Roman"/>
                <w:sz w:val="21"/>
                <w:szCs w:val="21"/>
                <w:lang w:val="en-US" w:eastAsia="zh-CN"/>
              </w:rPr>
              <w:t>2024年8至9月共采集6个点位土壤样品进行送检，所有样品的46项检测因子检出值均低于GB36600第一类用地筛选值和GB15618农用地土壤风险管控值。2025年7月委托江苏省农科院对农场土壤、坑塘水面采样检测，送检的8点位24个土壤样品检出值均低于GB36600第一类用地筛选值和GB15618农用地土壤风险管控值。</w:t>
            </w:r>
          </w:p>
          <w:p w14:paraId="395936EC">
            <w:pPr>
              <w:keepNext w:val="0"/>
              <w:keepLines w:val="0"/>
              <w:pageBreakBefore w:val="0"/>
              <w:widowControl/>
              <w:numPr>
                <w:numId w:val="0"/>
              </w:numPr>
              <w:kinsoku/>
              <w:wordWrap/>
              <w:overflowPunct/>
              <w:topLinePunct w:val="0"/>
              <w:autoSpaceDE/>
              <w:autoSpaceDN/>
              <w:bidi w:val="0"/>
              <w:adjustRightInd/>
              <w:snapToGrid/>
              <w:spacing w:line="320" w:lineRule="exact"/>
              <w:ind w:leftChars="0"/>
              <w:jc w:val="left"/>
              <w:textAlignment w:val="auto"/>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 xml:space="preserve">5. </w:t>
            </w:r>
            <w:bookmarkStart w:id="1" w:name="_GoBack"/>
            <w:bookmarkEnd w:id="1"/>
            <w:r>
              <w:rPr>
                <w:rFonts w:hint="default" w:ascii="Times New Roman" w:hAnsi="Times New Roman" w:eastAsia="方正仿宋_GBK" w:cs="Times New Roman"/>
                <w:sz w:val="21"/>
                <w:szCs w:val="21"/>
                <w:lang w:val="en-US" w:eastAsia="zh-CN"/>
              </w:rPr>
              <w:t>2025年8月6日，固城街道组织环境领域专家召开地块污染风险论证会，专家组经查阅资料和充分讨论后，一致得出结论：“地块环境调查检测方法科学、数据可靠，现阶段未发现明确污染风险”。</w:t>
            </w:r>
            <w:bookmarkEnd w:id="0"/>
          </w:p>
        </w:tc>
        <w:tc>
          <w:tcPr>
            <w:tcW w:w="322" w:type="pct"/>
            <w:tcBorders>
              <w:top w:val="single" w:color="auto" w:sz="4" w:space="0"/>
              <w:left w:val="single" w:color="auto" w:sz="4" w:space="0"/>
              <w:bottom w:val="single" w:color="auto" w:sz="4" w:space="0"/>
              <w:right w:val="single" w:color="auto" w:sz="4" w:space="0"/>
            </w:tcBorders>
            <w:vAlign w:val="center"/>
          </w:tcPr>
          <w:p w14:paraId="16650536">
            <w:pPr>
              <w:widowControl/>
              <w:spacing w:after="12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rPr>
              <w:t>是</w:t>
            </w:r>
          </w:p>
        </w:tc>
      </w:tr>
    </w:tbl>
    <w:p w14:paraId="74BA79D0"/>
    <w:sectPr>
      <w:footerReference r:id="rId3" w:type="default"/>
      <w:pgSz w:w="16838" w:h="11906" w:orient="landscape"/>
      <w:pgMar w:top="1531" w:right="1440" w:bottom="1531"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1BA09">
    <w:pPr>
      <w:pStyle w:val="3"/>
      <w:jc w:val="both"/>
      <w:rPr>
        <w:rFonts w:hint="eastAsia" w:ascii="宋体" w:hAnsi="宋体"/>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78510" cy="2209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78510" cy="2209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567C3">
                          <w:pPr>
                            <w:pStyle w:val="3"/>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7.4pt;width:61.3pt;mso-position-horizontal:outside;mso-position-horizontal-relative:margin;z-index:251659264;mso-width-relative:page;mso-height-relative:page;" filled="f" stroked="f" coordsize="21600,21600" o:gfxdata="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3o8Af1AAAAAQBAAAPAAAAAAAAAAEAIAAAACIAAABkcnMvZG93bnJldi54bWxQSwEC&#10;FAAUAAAACACHTuJA46hluDECAABVBAAADgAAAAAAAAABACAAAAAjAQAAZHJzL2Uyb0RvYy54bWxQ&#10;SwUGAAAAAAYABgBZAQAAxgUAAAAA&#10;">
              <v:fill on="f" focussize="0,0"/>
              <v:stroke on="f" weight="0.5pt"/>
              <v:imagedata o:title=""/>
              <o:lock v:ext="edit" aspectratio="f"/>
              <v:textbox inset="0mm,0mm,0mm,0mm">
                <w:txbxContent>
                  <w:p w14:paraId="200567C3">
                    <w:pPr>
                      <w:pStyle w:val="3"/>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2D05E1"/>
    <w:multiLevelType w:val="singleLevel"/>
    <w:tmpl w:val="812D05E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E4E5E"/>
    <w:rsid w:val="05017C52"/>
    <w:rsid w:val="0A200FA0"/>
    <w:rsid w:val="18E216F1"/>
    <w:rsid w:val="19DF5A35"/>
    <w:rsid w:val="1E822741"/>
    <w:rsid w:val="1EC91389"/>
    <w:rsid w:val="25DA1732"/>
    <w:rsid w:val="270A0791"/>
    <w:rsid w:val="306C6018"/>
    <w:rsid w:val="312E0757"/>
    <w:rsid w:val="31C53C32"/>
    <w:rsid w:val="328B4E7C"/>
    <w:rsid w:val="36342195"/>
    <w:rsid w:val="3A6D3965"/>
    <w:rsid w:val="3E377C66"/>
    <w:rsid w:val="41931657"/>
    <w:rsid w:val="43144A19"/>
    <w:rsid w:val="43811983"/>
    <w:rsid w:val="449C6A74"/>
    <w:rsid w:val="4D7762D0"/>
    <w:rsid w:val="51C12A5A"/>
    <w:rsid w:val="51E11F6A"/>
    <w:rsid w:val="527356AC"/>
    <w:rsid w:val="55FD758F"/>
    <w:rsid w:val="575B3445"/>
    <w:rsid w:val="597F22BF"/>
    <w:rsid w:val="5C34538D"/>
    <w:rsid w:val="64F34037"/>
    <w:rsid w:val="67FC1454"/>
    <w:rsid w:val="6954706E"/>
    <w:rsid w:val="69F745C9"/>
    <w:rsid w:val="6D821D39"/>
    <w:rsid w:val="6F435BBB"/>
    <w:rsid w:val="6FDB2C3A"/>
    <w:rsid w:val="700510C2"/>
    <w:rsid w:val="78EC72C3"/>
    <w:rsid w:val="7A813A3B"/>
    <w:rsid w:val="7D823D52"/>
    <w:rsid w:val="7F984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99"/>
    <w:rPr>
      <w:rFonts w:ascii="Calibri" w:hAnsi="Calibri" w:cs="Calibri"/>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heading"/>
    <w:basedOn w:val="1"/>
    <w:next w:val="6"/>
    <w:unhideWhenUsed/>
    <w:qFormat/>
    <w:uiPriority w:val="99"/>
    <w:pPr>
      <w:widowControl/>
      <w:spacing w:line="560" w:lineRule="exact"/>
      <w:ind w:firstLine="200" w:firstLineChars="200"/>
    </w:pPr>
    <w:rPr>
      <w:rFonts w:ascii="Cambria" w:hAnsi="Cambria" w:eastAsia="方正仿宋_GBK"/>
      <w:b/>
      <w:bCs/>
      <w:kern w:val="0"/>
      <w:sz w:val="32"/>
      <w:szCs w:val="32"/>
    </w:rPr>
  </w:style>
  <w:style w:type="paragraph" w:styleId="6">
    <w:name w:val="index 1"/>
    <w:basedOn w:val="1"/>
    <w:next w:val="1"/>
    <w:unhideWhenUsed/>
    <w:qFormat/>
    <w:uiPriority w:val="99"/>
    <w:rPr>
      <w:rFonts w:ascii="Calibri" w:hAnsi="Calibri" w:eastAsia="宋体" w:cs="Times New Roman"/>
      <w:szCs w:val="22"/>
    </w:rPr>
  </w:style>
  <w:style w:type="paragraph" w:styleId="7">
    <w:name w:val="Body Text 2"/>
    <w:basedOn w:val="1"/>
    <w:qFormat/>
    <w:uiPriority w:val="0"/>
    <w:pPr>
      <w:spacing w:line="480" w:lineRule="auto"/>
    </w:pPr>
    <w:rPr>
      <w:rFonts w:ascii="Calibri" w:hAnsi="Calibri"/>
      <w:szCs w:val="22"/>
    </w:rPr>
  </w:style>
  <w:style w:type="paragraph" w:customStyle="1" w:styleId="10">
    <w:name w:val="标题1"/>
    <w:basedOn w:val="1"/>
    <w:next w:val="1"/>
    <w:autoRedefine/>
    <w:qFormat/>
    <w:uiPriority w:val="0"/>
    <w:pPr>
      <w:tabs>
        <w:tab w:val="left" w:pos="9193"/>
        <w:tab w:val="left" w:pos="9827"/>
      </w:tabs>
      <w:spacing w:line="660" w:lineRule="exact"/>
      <w:jc w:val="center"/>
    </w:pPr>
    <w:rPr>
      <w:rFonts w:eastAsia="方正小标宋_GBK"/>
      <w:kern w:val="0"/>
      <w:sz w:val="44"/>
      <w:szCs w:val="20"/>
    </w:rPr>
  </w:style>
  <w:style w:type="paragraph" w:customStyle="1" w:styleId="11">
    <w:name w:val="标题2"/>
    <w:basedOn w:val="1"/>
    <w:next w:val="1"/>
    <w:autoRedefine/>
    <w:qFormat/>
    <w:uiPriority w:val="0"/>
    <w:pPr>
      <w:jc w:val="center"/>
    </w:pPr>
    <w:rPr>
      <w:rFonts w:eastAsia="方正楷体_GBK"/>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ca534327-e8c3-415d-8b39-71fa1af634e2</errorID>
      <errorWord>《高淳区淳溪街道南塘村通则式地块图则》（以下简称图则）</errorWord>
      <group>L1_Knowledge</group>
      <groupName>知识性问题</groupName>
      <ability>L2_Knowledge</ability>
      <abilityName>其他知识</abilityName>
      <candidateList>
        <item>《高淳区淳溪街道南塘村通则式地块图则》（以下简称“图则”）</item>
      </candidateList>
      <explain>疑似政策文件、法律法规名称等书写不规范，请注意检查。</explain>
      <paraID>68FCEC1A</paraID>
      <start>24</start>
      <end>51</end>
      <status>unmodified</status>
      <modifiedWord/>
      <trackRevisions>false</trackRevisions>
    </reviewItem>
    <reviewItem>
      <errorID>30b9db98-4c94-4bdb-8c47-561e1fcdaf12</errorID>
      <errorWord>（</errorWord>
      <group>L1_Punc</group>
      <groupName>标点问题</groupName>
      <ability>L2_Punc_CN</ability>
      <abilityName>标点符号问题</abilityName>
      <candidateList/>
      <explain>同一形式括号套用。</explain>
      <paraID>44FBECEE</paraID>
      <start>55</start>
      <end>56</end>
      <status>unmodified</status>
      <modifiedWord/>
      <trackRevisions>false</trackRevisions>
    </reviewItem>
    <reviewItem>
      <errorID>63c0b758-30b0-44b1-8342-805930b41e76</errorID>
      <errorWord>）</errorWord>
      <group>L1_Punc</group>
      <groupName>标点问题</groupName>
      <ability>L2_Punc_CN</ability>
      <abilityName>标点符号问题</abilityName>
      <candidateList/>
      <explain>同一形式括号套用。</explain>
      <paraID>44FBECEE</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040299-29ec-41ec-aca3-118adbd23b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1327</Words>
  <Characters>1514</Characters>
  <Lines>0</Lines>
  <Paragraphs>0</Paragraphs>
  <TotalTime>72</TotalTime>
  <ScaleCrop>false</ScaleCrop>
  <LinksUpToDate>false</LinksUpToDate>
  <CharactersWithSpaces>1515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2025-03-12T09:17:00Z</dcterms:created>
  <dc:creator>Administrator</dc:creator>
  <cp:lastModifiedBy>蒋小黑不黑</cp:lastModifiedBy>
  <cp:lastPrinted>2026-09-01T00:05:07Z</cp:lastPrinted>
  <dcterms:modified xsi:type="dcterms:W3CDTF">2026-09-01T00:09:02Z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eyJoZGlkIjoiNmQyMTBiOGU4MWQ2ODcyMzdlYzNlNjY5NDE4NjcwNTAiLCJ1c2VySWQiOiI5ODQ2MTA2NzMifQ==</vt:lpwstr>
  </property>
  <property fmtid="{D5CDD505-2E9C-101B-9397-08002B2CF9AE}" pid="4" name="ICV">
    <vt:lpwstr>978A7D8796034AA9970BE1A29AA3833E_12</vt:lpwstr>
  </property>
</Properties>
</file>