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numId w:val="0"/>
        </w:numPr>
        <w:spacing w:before="20"/>
        <w:ind w:right="429" w:rightChars="0"/>
        <w:jc w:val="center"/>
        <w:outlineLvl w:val="0"/>
        <w:rPr>
          <w:rFonts w:hint="eastAsia" w:ascii="方正小标宋_GBK" w:hAnsi="方正小标宋_GBK" w:eastAsia="方正小标宋_GBK" w:cs="方正小标宋_GBK"/>
          <w:b/>
          <w:bCs/>
          <w:sz w:val="44"/>
          <w:szCs w:val="44"/>
          <w:lang w:eastAsia="zh-CN"/>
        </w:rPr>
      </w:pPr>
      <w:bookmarkStart w:id="0" w:name="_Toc17673"/>
    </w:p>
    <w:p>
      <w:pPr>
        <w:numPr>
          <w:numId w:val="0"/>
        </w:numPr>
        <w:spacing w:before="20"/>
        <w:ind w:right="429" w:rightChars="0"/>
        <w:jc w:val="center"/>
        <w:outlineLvl w:val="0"/>
        <w:rPr>
          <w:rFonts w:hint="eastAsia" w:ascii="方正小标宋_GBK" w:hAnsi="方正小标宋_GBK" w:eastAsia="方正小标宋_GBK" w:cs="方正小标宋_GBK"/>
          <w:b/>
          <w:bCs/>
          <w:sz w:val="44"/>
          <w:szCs w:val="44"/>
          <w:lang w:eastAsia="zh-CN"/>
        </w:rPr>
      </w:pPr>
      <w:bookmarkStart w:id="1" w:name="_GoBack"/>
      <w:r>
        <w:rPr>
          <w:rFonts w:hint="eastAsia" w:ascii="方正小标宋_GBK" w:hAnsi="方正小标宋_GBK" w:eastAsia="方正小标宋_GBK" w:cs="方正小标宋_GBK"/>
          <w:b/>
          <w:bCs/>
          <w:sz w:val="44"/>
          <w:szCs w:val="44"/>
          <w:lang w:eastAsia="zh-CN"/>
        </w:rPr>
        <w:t>南京市高淳区东坝街道补充耕地质量鉴定服务</w:t>
      </w:r>
    </w:p>
    <w:p>
      <w:pPr>
        <w:numPr>
          <w:numId w:val="0"/>
        </w:numPr>
        <w:spacing w:before="20"/>
        <w:ind w:right="429" w:rightChars="0"/>
        <w:jc w:val="center"/>
        <w:outlineLvl w:val="0"/>
        <w:rPr>
          <w:rFonts w:hint="eastAsia" w:ascii="方正小标宋_GBK" w:hAnsi="方正小标宋_GBK" w:eastAsia="方正小标宋_GBK" w:cs="方正小标宋_GBK"/>
          <w:b/>
          <w:bCs/>
          <w:sz w:val="44"/>
          <w:szCs w:val="44"/>
          <w:lang w:eastAsia="zh-CN"/>
        </w:rPr>
      </w:pPr>
      <w:r>
        <w:rPr>
          <w:rFonts w:hint="eastAsia" w:ascii="方正小标宋_GBK" w:hAnsi="方正小标宋_GBK" w:eastAsia="方正小标宋_GBK" w:cs="方正小标宋_GBK"/>
          <w:b/>
          <w:bCs/>
          <w:sz w:val="44"/>
          <w:szCs w:val="44"/>
          <w:lang w:eastAsia="zh-CN"/>
        </w:rPr>
        <w:t>竞争性磋商公告</w:t>
      </w:r>
      <w:bookmarkEnd w:id="0"/>
    </w:p>
    <w:bookmarkEnd w:id="1"/>
    <w:p>
      <w:pPr>
        <w:spacing w:before="20"/>
        <w:ind w:right="429"/>
        <w:jc w:val="both"/>
        <w:rPr>
          <w:rFonts w:hint="eastAsia" w:ascii="宋体" w:hAnsi="宋体" w:eastAsia="宋体" w:cs="宋体"/>
          <w:b/>
          <w:bCs/>
          <w:sz w:val="28"/>
          <w:szCs w:val="28"/>
          <w:lang w:eastAsia="zh-CN"/>
        </w:rPr>
      </w:pPr>
    </w:p>
    <w:p>
      <w:pPr>
        <w:spacing w:line="360" w:lineRule="auto"/>
        <w:ind w:firstLine="720" w:firstLineChars="300"/>
        <w:rPr>
          <w:rFonts w:hint="eastAsia" w:ascii="宋体" w:hAnsi="宋体" w:eastAsia="宋体" w:cs="宋体"/>
          <w:sz w:val="24"/>
          <w:szCs w:val="24"/>
          <w:lang w:eastAsia="zh-CN"/>
        </w:rPr>
      </w:pPr>
      <w:r>
        <w:rPr>
          <w:rFonts w:hint="eastAsia" w:ascii="宋体" w:hAnsi="宋体" w:eastAsia="宋体" w:cs="宋体"/>
          <w:sz w:val="24"/>
          <w:szCs w:val="24"/>
          <w:u w:val="single"/>
          <w:lang w:eastAsia="zh-CN"/>
        </w:rPr>
        <w:t>南京市高淳区东坝街道补充耕地质量鉴定服务</w:t>
      </w:r>
      <w:r>
        <w:rPr>
          <w:rFonts w:hint="eastAsia" w:ascii="宋体" w:hAnsi="宋体" w:eastAsia="宋体" w:cs="宋体"/>
          <w:sz w:val="24"/>
          <w:szCs w:val="24"/>
          <w:lang w:eastAsia="zh-CN"/>
        </w:rPr>
        <w:t>的潜在供应商应在</w:t>
      </w:r>
      <w:r>
        <w:rPr>
          <w:rFonts w:hint="eastAsia" w:ascii="宋体" w:hAnsi="宋体" w:eastAsia="宋体" w:cs="宋体"/>
          <w:sz w:val="24"/>
          <w:szCs w:val="24"/>
          <w:u w:val="single"/>
          <w:lang w:eastAsia="zh-CN"/>
        </w:rPr>
        <w:t>南京衡岳咨询有限公司（南京市高淳区东坝街道胥溪路3号）</w:t>
      </w:r>
      <w:r>
        <w:rPr>
          <w:rFonts w:hint="eastAsia" w:ascii="宋体" w:hAnsi="宋体" w:eastAsia="宋体" w:cs="宋体"/>
          <w:sz w:val="24"/>
          <w:szCs w:val="24"/>
          <w:lang w:eastAsia="zh-CN"/>
        </w:rPr>
        <w:t>获取采购文件，并于2026年9月10日9点30分（北京时间）前提交响应文件。</w:t>
      </w:r>
    </w:p>
    <w:p>
      <w:pPr>
        <w:spacing w:line="360" w:lineRule="auto"/>
        <w:ind w:firstLine="723" w:firstLineChars="3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一、项目基本情况</w:t>
      </w:r>
    </w:p>
    <w:p>
      <w:pPr>
        <w:spacing w:line="360" w:lineRule="auto"/>
        <w:ind w:firstLine="720" w:firstLineChars="300"/>
        <w:rPr>
          <w:rFonts w:hint="eastAsia" w:ascii="宋体" w:hAnsi="宋体" w:eastAsia="宋体" w:cs="宋体"/>
          <w:sz w:val="24"/>
          <w:szCs w:val="24"/>
          <w:lang w:eastAsia="zh-CN"/>
        </w:rPr>
      </w:pPr>
      <w:r>
        <w:rPr>
          <w:rFonts w:hint="eastAsia" w:ascii="宋体" w:hAnsi="宋体" w:eastAsia="宋体" w:cs="宋体"/>
          <w:sz w:val="24"/>
          <w:szCs w:val="24"/>
          <w:lang w:eastAsia="zh-CN"/>
        </w:rPr>
        <w:t>1、项目编号：NJHY-2026-009</w:t>
      </w:r>
    </w:p>
    <w:p>
      <w:pPr>
        <w:spacing w:line="360" w:lineRule="auto"/>
        <w:ind w:firstLine="720" w:firstLineChars="300"/>
        <w:rPr>
          <w:rFonts w:hint="eastAsia" w:ascii="宋体" w:hAnsi="宋体" w:eastAsia="宋体" w:cs="宋体"/>
          <w:sz w:val="24"/>
          <w:szCs w:val="24"/>
          <w:lang w:eastAsia="zh-CN"/>
        </w:rPr>
      </w:pPr>
      <w:r>
        <w:rPr>
          <w:rFonts w:hint="eastAsia" w:ascii="宋体" w:hAnsi="宋体" w:eastAsia="宋体" w:cs="宋体"/>
          <w:sz w:val="24"/>
          <w:szCs w:val="24"/>
          <w:lang w:eastAsia="zh-CN"/>
        </w:rPr>
        <w:t>2、项目名称：南京市高淳区东坝街道补充耕地质量鉴定服务</w:t>
      </w:r>
    </w:p>
    <w:p>
      <w:pPr>
        <w:spacing w:line="360" w:lineRule="auto"/>
        <w:ind w:firstLine="720" w:firstLineChars="300"/>
        <w:rPr>
          <w:rFonts w:hint="eastAsia" w:ascii="宋体" w:hAnsi="宋体" w:eastAsia="宋体" w:cs="宋体"/>
          <w:sz w:val="24"/>
          <w:szCs w:val="24"/>
          <w:lang w:val="zh-CN" w:eastAsia="zh-CN"/>
        </w:rPr>
      </w:pPr>
      <w:r>
        <w:rPr>
          <w:rFonts w:hint="eastAsia" w:ascii="宋体" w:hAnsi="宋体" w:eastAsia="宋体" w:cs="宋体"/>
          <w:sz w:val="24"/>
          <w:szCs w:val="24"/>
          <w:lang w:eastAsia="zh-CN"/>
        </w:rPr>
        <w:t>3、采购方式：竞争性磋商（本项目不接受联合体投标）</w:t>
      </w:r>
    </w:p>
    <w:p>
      <w:pPr>
        <w:spacing w:line="360" w:lineRule="auto"/>
        <w:ind w:firstLine="720" w:firstLineChars="300"/>
        <w:rPr>
          <w:rFonts w:hint="eastAsia" w:ascii="宋体" w:hAnsi="宋体" w:eastAsia="宋体" w:cs="宋体"/>
          <w:sz w:val="24"/>
          <w:szCs w:val="24"/>
          <w:lang w:eastAsia="zh-CN"/>
        </w:rPr>
      </w:pPr>
      <w:r>
        <w:rPr>
          <w:rFonts w:hint="eastAsia" w:ascii="宋体" w:hAnsi="宋体" w:eastAsia="宋体" w:cs="宋体"/>
          <w:sz w:val="24"/>
          <w:szCs w:val="24"/>
          <w:lang w:eastAsia="zh-CN"/>
        </w:rPr>
        <w:t>4、最高限价：180000元，超过限价的投标报价按无效标处理。</w:t>
      </w:r>
    </w:p>
    <w:p>
      <w:pPr>
        <w:spacing w:line="360" w:lineRule="auto"/>
        <w:ind w:left="900" w:leftChars="300" w:hanging="240" w:hangingChars="100"/>
        <w:rPr>
          <w:rFonts w:hint="eastAsia" w:ascii="宋体" w:hAnsi="宋体" w:eastAsia="宋体" w:cs="宋体"/>
          <w:sz w:val="24"/>
          <w:szCs w:val="24"/>
          <w:lang w:eastAsia="zh-CN"/>
        </w:rPr>
      </w:pPr>
      <w:r>
        <w:rPr>
          <w:rFonts w:hint="eastAsia" w:ascii="宋体" w:hAnsi="宋体" w:eastAsia="宋体" w:cs="宋体"/>
          <w:sz w:val="24"/>
          <w:szCs w:val="24"/>
          <w:lang w:eastAsia="zh-CN"/>
        </w:rPr>
        <w:t>5、采购需求：鉴定面积共约37.6044公顷（约564亩），其中东风村1.1131公顷，傅家坛村16.1483公顷，河南村1.8288公顷，红松村1.8476公顷，青枫村16.6666公顷，详见竞争性磋商文件。</w:t>
      </w:r>
    </w:p>
    <w:p>
      <w:pPr>
        <w:spacing w:before="199" w:line="360" w:lineRule="auto"/>
        <w:ind w:right="5998" w:firstLine="723" w:firstLineChars="300"/>
        <w:rPr>
          <w:rFonts w:hint="eastAsia" w:ascii="宋体" w:hAnsi="宋体" w:eastAsia="宋体" w:cs="宋体"/>
          <w:b/>
          <w:sz w:val="24"/>
          <w:szCs w:val="24"/>
          <w:lang w:eastAsia="zh-CN"/>
        </w:rPr>
      </w:pPr>
      <w:r>
        <w:rPr>
          <w:rFonts w:hint="eastAsia" w:ascii="宋体" w:hAnsi="宋体" w:eastAsia="宋体" w:cs="宋体"/>
          <w:b/>
          <w:sz w:val="24"/>
          <w:szCs w:val="24"/>
          <w:lang w:eastAsia="zh-CN"/>
        </w:rPr>
        <w:t>二、申请人的资格要求：</w:t>
      </w:r>
    </w:p>
    <w:p>
      <w:pPr>
        <w:spacing w:line="360" w:lineRule="auto"/>
        <w:ind w:firstLine="720" w:firstLineChars="300"/>
        <w:rPr>
          <w:rFonts w:hint="eastAsia" w:ascii="宋体" w:hAnsi="宋体" w:eastAsia="宋体" w:cs="宋体"/>
          <w:sz w:val="24"/>
          <w:szCs w:val="24"/>
          <w:lang w:eastAsia="zh-CN"/>
        </w:rPr>
      </w:pPr>
      <w:r>
        <w:rPr>
          <w:rFonts w:hint="eastAsia" w:ascii="宋体" w:hAnsi="宋体" w:eastAsia="宋体" w:cs="宋体"/>
          <w:sz w:val="24"/>
          <w:szCs w:val="24"/>
          <w:lang w:eastAsia="zh-CN"/>
        </w:rPr>
        <w:t>1.供应商提供如下资料：</w:t>
      </w:r>
    </w:p>
    <w:p>
      <w:pPr>
        <w:shd w:val="clear" w:color="auto" w:fill="FFFFFF"/>
        <w:autoSpaceDE/>
        <w:autoSpaceDN/>
        <w:adjustRightInd w:val="0"/>
        <w:snapToGrid w:val="0"/>
        <w:spacing w:line="360" w:lineRule="auto"/>
        <w:ind w:firstLine="480" w:firstLineChars="200"/>
        <w:jc w:val="both"/>
        <w:rPr>
          <w:rFonts w:hint="eastAsia" w:ascii="宋体" w:hAnsi="宋体" w:eastAsia="宋体" w:cs="宋体"/>
          <w:bCs/>
          <w:kern w:val="2"/>
          <w:sz w:val="48"/>
          <w:szCs w:val="24"/>
          <w:lang w:eastAsia="zh-CN"/>
        </w:rPr>
      </w:pPr>
      <w:r>
        <w:rPr>
          <w:rFonts w:hint="eastAsia" w:ascii="宋体" w:hAnsi="宋体" w:eastAsia="宋体" w:cs="宋体"/>
          <w:bCs/>
          <w:kern w:val="2"/>
          <w:sz w:val="24"/>
          <w:szCs w:val="24"/>
          <w:lang w:eastAsia="zh-CN"/>
        </w:rPr>
        <w:t>1.满足《中华人民共和国政府采购法》第二十二条规定：</w:t>
      </w:r>
    </w:p>
    <w:p>
      <w:pPr>
        <w:shd w:val="clear" w:color="auto" w:fill="FFFFFF"/>
        <w:autoSpaceDE/>
        <w:autoSpaceDN/>
        <w:adjustRightInd w:val="0"/>
        <w:snapToGrid w:val="0"/>
        <w:spacing w:line="360" w:lineRule="auto"/>
        <w:ind w:firstLine="480" w:firstLineChars="200"/>
        <w:jc w:val="both"/>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eastAsia="zh-CN"/>
        </w:rPr>
        <w:t xml:space="preserve">（1）具有独立承担民事责任的能力（提供法人或者其他组织的营业执照，自然人的身份证明复印件加盖公章）； </w:t>
      </w:r>
    </w:p>
    <w:p>
      <w:pPr>
        <w:shd w:val="clear" w:color="auto" w:fill="FFFFFF"/>
        <w:autoSpaceDE/>
        <w:autoSpaceDN/>
        <w:adjustRightInd w:val="0"/>
        <w:snapToGrid w:val="0"/>
        <w:spacing w:line="360" w:lineRule="auto"/>
        <w:ind w:firstLine="480" w:firstLineChars="200"/>
        <w:jc w:val="both"/>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eastAsia="zh-CN"/>
        </w:rPr>
        <w:t>（2）具有良好的商业信誉和健全的财务会计制度（提供参加本次招标活动前的会计报表复印件加盖公章）；</w:t>
      </w:r>
    </w:p>
    <w:p>
      <w:pPr>
        <w:shd w:val="clear" w:color="auto" w:fill="FFFFFF"/>
        <w:autoSpaceDE/>
        <w:autoSpaceDN/>
        <w:adjustRightInd w:val="0"/>
        <w:snapToGrid w:val="0"/>
        <w:spacing w:line="360" w:lineRule="auto"/>
        <w:ind w:firstLine="480" w:firstLineChars="200"/>
        <w:jc w:val="both"/>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eastAsia="zh-CN"/>
        </w:rPr>
        <w:t>（3）具有履行合同所必需的设备和专业技术能力（提供承诺书原件）；</w:t>
      </w:r>
    </w:p>
    <w:p>
      <w:pPr>
        <w:shd w:val="clear" w:color="auto" w:fill="FFFFFF"/>
        <w:autoSpaceDE/>
        <w:autoSpaceDN/>
        <w:adjustRightInd w:val="0"/>
        <w:snapToGrid w:val="0"/>
        <w:spacing w:line="360" w:lineRule="auto"/>
        <w:ind w:firstLine="480" w:firstLineChars="200"/>
        <w:jc w:val="both"/>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eastAsia="zh-CN"/>
        </w:rPr>
        <w:t>（4）有依法缴纳税收和社会保障资金的良好记录（提供参加本次招标活动前半年内（至少一个月）依法缴纳税收和社会保障资金的相关资料复印件加盖公章）；</w:t>
      </w:r>
    </w:p>
    <w:p>
      <w:pPr>
        <w:shd w:val="clear" w:color="auto" w:fill="FFFFFF"/>
        <w:autoSpaceDE/>
        <w:autoSpaceDN/>
        <w:adjustRightInd w:val="0"/>
        <w:snapToGrid w:val="0"/>
        <w:spacing w:line="360" w:lineRule="auto"/>
        <w:ind w:firstLine="480" w:firstLineChars="200"/>
        <w:jc w:val="both"/>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eastAsia="zh-CN"/>
        </w:rPr>
        <w:t>（5）参加采购活动前三年内，在经营活动中没有重大违法记录（提供承诺书原件）；</w:t>
      </w:r>
    </w:p>
    <w:p>
      <w:pPr>
        <w:shd w:val="clear" w:color="auto" w:fill="FFFFFF"/>
        <w:autoSpaceDE/>
        <w:autoSpaceDN/>
        <w:adjustRightInd w:val="0"/>
        <w:snapToGrid w:val="0"/>
        <w:spacing w:line="360" w:lineRule="auto"/>
        <w:ind w:firstLine="480" w:firstLineChars="200"/>
        <w:jc w:val="both"/>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eastAsia="zh-CN"/>
        </w:rPr>
        <w:t>（6）法律、行政法规规定的其他条件。</w:t>
      </w:r>
    </w:p>
    <w:p>
      <w:pPr>
        <w:shd w:val="clear" w:color="auto" w:fill="FFFFFF"/>
        <w:autoSpaceDE/>
        <w:autoSpaceDN/>
        <w:adjustRightInd w:val="0"/>
        <w:snapToGrid w:val="0"/>
        <w:spacing w:line="360" w:lineRule="auto"/>
        <w:ind w:firstLine="480" w:firstLineChars="200"/>
        <w:jc w:val="both"/>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eastAsia="zh-CN"/>
        </w:rPr>
        <w:t xml:space="preserve">2、落实政府采购政策需满足的资格要求： </w:t>
      </w:r>
    </w:p>
    <w:p>
      <w:pPr>
        <w:shd w:val="clear" w:color="auto" w:fill="FFFFFF"/>
        <w:autoSpaceDE/>
        <w:autoSpaceDN/>
        <w:adjustRightInd w:val="0"/>
        <w:snapToGrid w:val="0"/>
        <w:spacing w:line="360" w:lineRule="auto"/>
        <w:ind w:firstLine="480" w:firstLineChars="200"/>
        <w:jc w:val="both"/>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eastAsia="zh-CN"/>
        </w:rPr>
        <w:t xml:space="preserve">（如属于专门面向中小企业采购的项目，供应商应为中小微企业、监狱企业、残疾人福利性单位） </w:t>
      </w:r>
    </w:p>
    <w:p>
      <w:pPr>
        <w:shd w:val="clear" w:color="auto" w:fill="FFFFFF"/>
        <w:autoSpaceDE/>
        <w:autoSpaceDN/>
        <w:adjustRightInd w:val="0"/>
        <w:snapToGrid w:val="0"/>
        <w:spacing w:line="360" w:lineRule="auto"/>
        <w:ind w:firstLine="480" w:firstLineChars="200"/>
        <w:jc w:val="both"/>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eastAsia="zh-CN"/>
        </w:rPr>
        <w:t xml:space="preserve">本项目按照以下第（1）种方式落实政府采购促进中小企业发展的要求： </w:t>
      </w:r>
    </w:p>
    <w:p>
      <w:pPr>
        <w:shd w:val="clear" w:color="auto" w:fill="FFFFFF"/>
        <w:autoSpaceDE/>
        <w:autoSpaceDN/>
        <w:adjustRightInd w:val="0"/>
        <w:snapToGrid w:val="0"/>
        <w:spacing w:line="360" w:lineRule="auto"/>
        <w:ind w:firstLine="480" w:firstLineChars="200"/>
        <w:jc w:val="both"/>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eastAsia="zh-CN"/>
        </w:rPr>
        <w:t xml:space="preserve">（1）本项目整体专门面向中小企业采购服务。 </w:t>
      </w:r>
    </w:p>
    <w:p>
      <w:pPr>
        <w:shd w:val="clear" w:color="auto" w:fill="FFFFFF"/>
        <w:autoSpaceDE/>
        <w:autoSpaceDN/>
        <w:adjustRightInd w:val="0"/>
        <w:snapToGrid w:val="0"/>
        <w:spacing w:line="360" w:lineRule="auto"/>
        <w:ind w:firstLine="480" w:firstLineChars="200"/>
        <w:jc w:val="both"/>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eastAsia="zh-CN"/>
        </w:rPr>
        <w:t xml:space="preserve">（2）本项目整体专门面向小微企业采购服务。 </w:t>
      </w:r>
    </w:p>
    <w:p>
      <w:pPr>
        <w:shd w:val="clear" w:color="auto" w:fill="FFFFFF"/>
        <w:autoSpaceDE/>
        <w:autoSpaceDN/>
        <w:adjustRightInd w:val="0"/>
        <w:snapToGrid w:val="0"/>
        <w:spacing w:line="360" w:lineRule="auto"/>
        <w:ind w:firstLine="480" w:firstLineChars="200"/>
        <w:jc w:val="both"/>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eastAsia="zh-CN"/>
        </w:rPr>
        <w:t xml:space="preserve">（3）本项目通过以下第（） 种方式预留部分采购份额采购中小企业服务： </w:t>
      </w:r>
    </w:p>
    <w:p>
      <w:pPr>
        <w:shd w:val="clear" w:color="auto" w:fill="FFFFFF"/>
        <w:autoSpaceDE/>
        <w:autoSpaceDN/>
        <w:adjustRightInd w:val="0"/>
        <w:snapToGrid w:val="0"/>
        <w:spacing w:line="360" w:lineRule="auto"/>
        <w:ind w:firstLine="480" w:firstLineChars="200"/>
        <w:jc w:val="both"/>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eastAsia="zh-CN"/>
        </w:rPr>
        <w:t xml:space="preserve">①本项目要求供应商以联合体形式参加，中小企业合同金额应当达到的比例为_%。 </w:t>
      </w:r>
    </w:p>
    <w:p>
      <w:pPr>
        <w:shd w:val="clear" w:color="auto" w:fill="FFFFFF"/>
        <w:autoSpaceDE/>
        <w:autoSpaceDN/>
        <w:adjustRightInd w:val="0"/>
        <w:snapToGrid w:val="0"/>
        <w:spacing w:line="360" w:lineRule="auto"/>
        <w:ind w:firstLine="480" w:firstLineChars="200"/>
        <w:jc w:val="both"/>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eastAsia="zh-CN"/>
        </w:rPr>
        <w:t xml:space="preserve">②本项目要求供应商进行合同分包，中小企业合同金额应当达到的比例为_%。 </w:t>
      </w:r>
    </w:p>
    <w:p>
      <w:pPr>
        <w:shd w:val="clear" w:color="auto" w:fill="FFFFFF"/>
        <w:autoSpaceDE/>
        <w:autoSpaceDN/>
        <w:adjustRightInd w:val="0"/>
        <w:snapToGrid w:val="0"/>
        <w:spacing w:line="360" w:lineRule="auto"/>
        <w:ind w:firstLine="480" w:firstLineChars="200"/>
        <w:jc w:val="both"/>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eastAsia="zh-CN"/>
        </w:rPr>
        <w:t xml:space="preserve">（4）本项目为非预留份额的采购项目或采购包，执行价格扣除优惠政策，具体详见第三章评标办法与标准。 </w:t>
      </w:r>
    </w:p>
    <w:p>
      <w:pPr>
        <w:pStyle w:val="23"/>
        <w:tabs>
          <w:tab w:val="left" w:pos="1656"/>
        </w:tabs>
        <w:spacing w:before="108" w:line="360" w:lineRule="auto"/>
        <w:ind w:left="506" w:leftChars="230" w:right="5044" w:firstLine="86" w:firstLineChars="36"/>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3.本项目的特定资格要求：</w:t>
      </w:r>
    </w:p>
    <w:p>
      <w:pPr>
        <w:widowControl/>
        <w:shd w:val="clear" w:color="auto" w:fill="FFFFFF"/>
        <w:spacing w:line="360" w:lineRule="auto"/>
        <w:ind w:right="-408" w:firstLine="600" w:firstLineChars="250"/>
        <w:rPr>
          <w:rFonts w:hint="eastAsia" w:ascii="宋体" w:hAnsi="宋体" w:eastAsia="宋体" w:cs="宋体"/>
          <w:sz w:val="24"/>
          <w:lang w:eastAsia="zh-CN"/>
        </w:rPr>
      </w:pPr>
      <w:r>
        <w:rPr>
          <w:rFonts w:hint="eastAsia" w:ascii="宋体" w:hAnsi="宋体" w:eastAsia="宋体" w:cs="宋体"/>
          <w:sz w:val="24"/>
          <w:lang w:eastAsia="zh-CN"/>
        </w:rPr>
        <w:t>（1）供应商须具有有效期内的法定许可的计量认证证书（CMA）（复印件并加盖公章）；</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4.拒绝下述供应商参加本次采购活动：</w:t>
      </w:r>
    </w:p>
    <w:p>
      <w:pPr>
        <w:shd w:val="clear" w:color="auto" w:fill="FFFFFF"/>
        <w:autoSpaceDE/>
        <w:autoSpaceDN/>
        <w:adjustRightInd w:val="0"/>
        <w:snapToGrid w:val="0"/>
        <w:spacing w:line="360" w:lineRule="auto"/>
        <w:ind w:firstLine="480" w:firstLineChars="200"/>
        <w:jc w:val="both"/>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eastAsia="zh-CN"/>
        </w:rPr>
        <w:t>（1)供应商单位负责人为同一人或者存在直接控股、管理关系的不同供应商，不得参加同一合同项下的政府采购活动。</w:t>
      </w:r>
    </w:p>
    <w:p>
      <w:pPr>
        <w:shd w:val="clear" w:color="auto" w:fill="FFFFFF"/>
        <w:autoSpaceDE/>
        <w:autoSpaceDN/>
        <w:adjustRightInd w:val="0"/>
        <w:snapToGrid w:val="0"/>
        <w:spacing w:line="360" w:lineRule="auto"/>
        <w:ind w:firstLine="480" w:firstLineChars="200"/>
        <w:jc w:val="both"/>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eastAsia="zh-CN"/>
        </w:rPr>
        <w:t>(2)凡为采购项目提供整体设计、规范编制或者项目管理、监理、检测等服务的供应商，不得再参加本项目的采购活动。</w:t>
      </w:r>
    </w:p>
    <w:p>
      <w:pPr>
        <w:shd w:val="clear" w:color="auto" w:fill="FFFFFF"/>
        <w:autoSpaceDE/>
        <w:autoSpaceDN/>
        <w:adjustRightInd w:val="0"/>
        <w:snapToGrid w:val="0"/>
        <w:spacing w:line="360" w:lineRule="auto"/>
        <w:ind w:firstLine="480" w:firstLineChars="200"/>
        <w:jc w:val="both"/>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eastAsia="zh-CN"/>
        </w:rPr>
        <w:t>(3)供应商被“信用中国”网站（www.creditchina.gov.cn）、“中国政府采购网  "(www.ccgp.gov.cn)列入失信被执行人、重大税收违法案件当事人名单、政府采购严重违法失信行为记录名单。</w:t>
      </w:r>
    </w:p>
    <w:p>
      <w:pPr>
        <w:spacing w:line="360" w:lineRule="auto"/>
        <w:ind w:firstLine="723" w:firstLineChars="300"/>
        <w:rPr>
          <w:rFonts w:hint="eastAsia" w:ascii="宋体" w:hAnsi="宋体" w:eastAsia="宋体" w:cs="宋体"/>
          <w:b/>
          <w:sz w:val="24"/>
          <w:szCs w:val="24"/>
          <w:lang w:eastAsia="zh-CN"/>
        </w:rPr>
      </w:pPr>
      <w:r>
        <w:rPr>
          <w:rFonts w:hint="eastAsia" w:ascii="宋体" w:hAnsi="宋体" w:eastAsia="宋体" w:cs="宋体"/>
          <w:b/>
          <w:sz w:val="24"/>
          <w:szCs w:val="24"/>
          <w:lang w:eastAsia="zh-CN"/>
        </w:rPr>
        <w:t>三、获取招标文件</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1.时间：2026 年 9 月 4 日至 2026 年 9 月 10 日</w:t>
      </w:r>
    </w:p>
    <w:p>
      <w:pPr>
        <w:pStyle w:val="23"/>
        <w:tabs>
          <w:tab w:val="left" w:pos="1210"/>
        </w:tabs>
        <w:spacing w:line="360" w:lineRule="auto"/>
        <w:ind w:left="550" w:leftChars="250"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2.方式：投标申请人将有效法定代表人授权委托书或单位介绍信、经办人身份证复印件及原件、经办人近3个月社保证明文件（需与报名单位一致）、有效企业营业执照（以上材料复印件加盖公章，不加盖公章为无效资料）盖章扫描后发至邮箱494648571@qq.com</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文件费用：300元，</w:t>
      </w:r>
      <w:r>
        <w:rPr>
          <w:rFonts w:hint="eastAsia" w:ascii="宋体" w:hAnsi="宋体" w:eastAsia="宋体"/>
          <w:sz w:val="24"/>
          <w:shd w:val="clear" w:color="auto" w:fill="FFFFFF"/>
          <w:lang w:eastAsia="zh-CN"/>
        </w:rPr>
        <w:t>售后不退，支付宝账号:18551783688【备注单位简称】</w:t>
      </w:r>
      <w:r>
        <w:rPr>
          <w:rFonts w:hint="eastAsia" w:ascii="宋体" w:hAnsi="宋体" w:eastAsia="宋体" w:cs="宋体"/>
          <w:sz w:val="24"/>
          <w:szCs w:val="24"/>
          <w:lang w:eastAsia="zh-CN"/>
        </w:rPr>
        <w:t>。</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注：未按上述要求报名和接受审查的投标单位，不予参与本次投标。</w:t>
      </w:r>
    </w:p>
    <w:p>
      <w:pPr>
        <w:pStyle w:val="23"/>
        <w:tabs>
          <w:tab w:val="left" w:pos="1210"/>
        </w:tabs>
        <w:spacing w:line="360" w:lineRule="auto"/>
        <w:ind w:left="606" w:right="1001" w:firstLine="0"/>
        <w:rPr>
          <w:rFonts w:hint="eastAsia" w:ascii="宋体" w:hAnsi="宋体" w:eastAsia="宋体" w:cs="宋体"/>
          <w:sz w:val="24"/>
          <w:szCs w:val="24"/>
          <w:lang w:eastAsia="zh-CN"/>
        </w:rPr>
      </w:pPr>
    </w:p>
    <w:p>
      <w:pPr>
        <w:pStyle w:val="23"/>
        <w:tabs>
          <w:tab w:val="left" w:pos="1210"/>
        </w:tabs>
        <w:spacing w:line="360" w:lineRule="auto"/>
        <w:ind w:left="606" w:right="1001" w:firstLine="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四、提交投标文件截止时间、开标时间和地点</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1.截止时间：2026 年 9 月 14 日 9 时 30 分（北京时间）</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2.地点：南京衡岳咨询有限公司（南京市高淳区东坝街道胥溪路3号）, 届时请供应商的法定代表人或授权委托人出席开标仪式，需提供授权委托书、委托人身份证复印件及原件、委托人近3个月社保。</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3.响应文件份数及要求：纸质版投标文件壹式叁份（壹份正本、贰份副本），每份文件须清楚标明“正本”或“副本”字样，投标文件有误，以纸质版投标文件正本为准；</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投标文件电子档壹份（U 盘：电子件包含投标文件正本（盖章）扫描件形式 PDF 版）。以上纸质及电子提供不全，响应文件将拒收。</w:t>
      </w:r>
    </w:p>
    <w:p>
      <w:pPr>
        <w:pStyle w:val="23"/>
        <w:tabs>
          <w:tab w:val="left" w:pos="1210"/>
        </w:tabs>
        <w:spacing w:line="360" w:lineRule="auto"/>
        <w:ind w:left="606" w:right="1001" w:firstLine="0"/>
        <w:rPr>
          <w:rFonts w:hint="eastAsia" w:ascii="宋体" w:hAnsi="宋体" w:eastAsia="宋体" w:cs="宋体"/>
          <w:sz w:val="24"/>
          <w:szCs w:val="24"/>
          <w:lang w:eastAsia="zh-CN"/>
        </w:rPr>
      </w:pPr>
    </w:p>
    <w:p>
      <w:pPr>
        <w:pStyle w:val="23"/>
        <w:tabs>
          <w:tab w:val="left" w:pos="1210"/>
        </w:tabs>
        <w:spacing w:line="360" w:lineRule="auto"/>
        <w:ind w:left="606" w:right="1001" w:firstLine="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五、其他补充事宜</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1.根据《关于在政府采购活动中推行信用承诺制的通知》宁财购通〔2021〕5号规定，参加南京地区政府采购活动的供应商，应以书面形式向采购人作出信用承诺。供应商应尽早做好承诺工作，点击‘南京公共采购信息网’首页（https://njgc.jfh.com/）‘南京市政府采购供应商诚信档案’系统链接打开系统页面（http://180.101.238.212:8280/hodeframe2018_cxda/index.action;jsessionid=769BA9C8E1729422E7173B991C8EC1E5）登录（未注册的供应商应先点击‘供应商注册点这里’并按要求完成注册），然后在“信用记录”模块页面点击“信用记录打印”下载本单位《南京市政府采购供应商信用记录表暨信用承诺书》，由法人签字并盖单位公章，随投标文件一并递交。</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在政府采购资格审查环节，供应商只需提供书面《南京市政府采购供应商信用记录表暨信用承诺书》，即可替代以下证明材料：</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（1）符合国家相关规定的财务状况报告；</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（2）依法缴纳税收的证明材料；</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（3）依法缴纳社会保障资金的证明材料；</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（4）具备履行政府采购合同所必需的设备和专业技术能力的证明材料；</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（5）参加政府采购活动近三年内在经营活动中没有重大违法记录的证明材料；</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（6）未被列入失信被执行人、重大税收违法失信主体、政府采购严重违法失信行为记录名单的证明材料。</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供应商在中标（成交）后，应按采购文件要求，将上述由信用承诺书替代的证明材料提交采购人核验。经核验无误后，由采购人发出中标（成交）通知书。</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供应商涉及以下情形的，不适用信用承诺：</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（1）供应商被列入严重失信主体名单；</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（2）被相关监管部门作出行政处罚且尚在处罚有效期内；</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（3）其他法律、行政法规规定的不适用信用承诺的情形。</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供应商对信用承诺内容的真实性、合法性、有效性负责。如作出虚假信用承诺，视同为“提供虚假材料谋取中标、成交”的违法行为。</w:t>
      </w:r>
    </w:p>
    <w:p>
      <w:pPr>
        <w:pStyle w:val="23"/>
        <w:tabs>
          <w:tab w:val="left" w:pos="1210"/>
        </w:tabs>
        <w:spacing w:line="360" w:lineRule="auto"/>
        <w:ind w:left="606" w:right="1001" w:firstLine="0"/>
        <w:rPr>
          <w:rFonts w:hint="eastAsia" w:ascii="宋体" w:hAnsi="宋体" w:eastAsia="宋体" w:cs="宋体"/>
          <w:sz w:val="24"/>
          <w:szCs w:val="24"/>
          <w:lang w:eastAsia="zh-CN"/>
        </w:rPr>
      </w:pPr>
      <w:r>
        <w:rPr>
          <w:rFonts w:hint="eastAsia" w:ascii="宋体" w:hAnsi="宋体" w:eastAsia="宋体" w:cs="宋体"/>
          <w:sz w:val="24"/>
          <w:szCs w:val="24"/>
          <w:lang w:eastAsia="zh-CN"/>
        </w:rPr>
        <w:t>友情提示：南京市政府采购供应商诚信档案管理系统客服电话：025-52718366；供应商可就用户注册与打印“南京市政府采购供应商信用记录表”等事宜进行咨询。</w:t>
      </w:r>
    </w:p>
    <w:p>
      <w:pPr>
        <w:spacing w:line="360" w:lineRule="auto"/>
        <w:ind w:firstLine="723" w:firstLineChars="300"/>
        <w:rPr>
          <w:rFonts w:hint="eastAsia" w:ascii="宋体" w:hAnsi="宋体" w:eastAsia="宋体" w:cs="宋体"/>
          <w:b/>
          <w:sz w:val="24"/>
          <w:szCs w:val="24"/>
          <w:lang w:eastAsia="zh-CN"/>
        </w:rPr>
      </w:pPr>
    </w:p>
    <w:p>
      <w:pPr>
        <w:spacing w:line="360" w:lineRule="auto"/>
        <w:ind w:firstLine="723" w:firstLineChars="300"/>
        <w:rPr>
          <w:rFonts w:hint="eastAsia" w:ascii="宋体" w:hAnsi="宋体" w:eastAsia="宋体" w:cs="宋体"/>
          <w:b/>
          <w:sz w:val="24"/>
          <w:szCs w:val="24"/>
          <w:lang w:eastAsia="zh-CN"/>
        </w:rPr>
      </w:pPr>
      <w:r>
        <w:rPr>
          <w:rFonts w:hint="eastAsia" w:ascii="宋体" w:hAnsi="宋体" w:eastAsia="宋体" w:cs="宋体"/>
          <w:b/>
          <w:sz w:val="24"/>
          <w:szCs w:val="24"/>
          <w:lang w:eastAsia="zh-CN"/>
        </w:rPr>
        <w:t>六、公告期限</w:t>
      </w:r>
    </w:p>
    <w:p>
      <w:pPr>
        <w:spacing w:before="55" w:line="360" w:lineRule="auto"/>
        <w:ind w:firstLine="720" w:firstLineChars="300"/>
        <w:rPr>
          <w:rFonts w:hint="eastAsia" w:ascii="宋体" w:hAnsi="宋体" w:eastAsia="宋体" w:cs="宋体"/>
          <w:sz w:val="24"/>
          <w:szCs w:val="24"/>
          <w:lang w:eastAsia="zh-CN"/>
        </w:rPr>
      </w:pPr>
      <w:r>
        <w:rPr>
          <w:rFonts w:hint="eastAsia" w:ascii="宋体" w:hAnsi="宋体" w:eastAsia="宋体" w:cs="宋体"/>
          <w:sz w:val="24"/>
          <w:szCs w:val="24"/>
          <w:lang w:eastAsia="zh-CN"/>
        </w:rPr>
        <w:t>自本公告发布之日起 5 个工作日。</w:t>
      </w:r>
    </w:p>
    <w:p>
      <w:pPr>
        <w:spacing w:before="36" w:line="360" w:lineRule="auto"/>
        <w:ind w:right="4423"/>
        <w:rPr>
          <w:rFonts w:hint="eastAsia" w:ascii="宋体" w:hAnsi="宋体" w:eastAsia="宋体" w:cs="宋体"/>
          <w:b/>
          <w:sz w:val="24"/>
          <w:szCs w:val="24"/>
          <w:lang w:eastAsia="zh-CN"/>
        </w:rPr>
      </w:pPr>
    </w:p>
    <w:p>
      <w:pPr>
        <w:spacing w:before="36" w:line="360" w:lineRule="auto"/>
        <w:ind w:right="4423" w:firstLine="723" w:firstLineChars="300"/>
        <w:rPr>
          <w:rFonts w:hint="eastAsia" w:ascii="宋体" w:hAnsi="宋体" w:eastAsia="宋体" w:cs="宋体"/>
          <w:b/>
          <w:sz w:val="24"/>
          <w:lang w:eastAsia="zh-CN"/>
        </w:rPr>
      </w:pPr>
      <w:r>
        <w:rPr>
          <w:rFonts w:hint="eastAsia" w:ascii="宋体" w:hAnsi="宋体" w:eastAsia="宋体" w:cs="宋体"/>
          <w:b/>
          <w:sz w:val="24"/>
          <w:szCs w:val="24"/>
          <w:lang w:eastAsia="zh-CN"/>
        </w:rPr>
        <w:t>七、对本次招标提出询问，请按以下方式联系。</w:t>
      </w:r>
    </w:p>
    <w:p>
      <w:pPr>
        <w:spacing w:before="36" w:line="360" w:lineRule="auto"/>
        <w:ind w:left="1204" w:right="4423" w:hanging="120"/>
        <w:rPr>
          <w:rFonts w:hint="eastAsia" w:ascii="宋体" w:hAnsi="宋体" w:eastAsia="宋体" w:cs="宋体"/>
          <w:sz w:val="24"/>
          <w:szCs w:val="24"/>
          <w:lang w:eastAsia="zh-CN"/>
        </w:rPr>
      </w:pPr>
      <w:r>
        <w:rPr>
          <w:rFonts w:hint="eastAsia" w:ascii="宋体" w:hAnsi="宋体" w:eastAsia="宋体" w:cs="宋体"/>
          <w:sz w:val="24"/>
          <w:szCs w:val="24"/>
          <w:lang w:eastAsia="zh-CN"/>
        </w:rPr>
        <w:t>1.采购人信息</w:t>
      </w:r>
    </w:p>
    <w:p>
      <w:pPr>
        <w:spacing w:before="76" w:line="360" w:lineRule="auto"/>
        <w:ind w:left="1204" w:right="2409"/>
        <w:rPr>
          <w:rFonts w:hint="eastAsia" w:ascii="宋体" w:hAnsi="宋体" w:eastAsia="宋体" w:cs="宋体"/>
          <w:sz w:val="24"/>
          <w:lang w:eastAsia="zh-CN"/>
        </w:rPr>
      </w:pPr>
      <w:r>
        <w:rPr>
          <w:rFonts w:hint="eastAsia" w:ascii="宋体" w:hAnsi="宋体" w:eastAsia="宋体" w:cs="宋体"/>
          <w:sz w:val="24"/>
          <w:szCs w:val="24"/>
          <w:lang w:eastAsia="zh-CN"/>
        </w:rPr>
        <w:t>名 称：南京市高淳区人民政府东坝街道办事处</w:t>
      </w:r>
      <w:r>
        <w:rPr>
          <w:rFonts w:hint="eastAsia" w:ascii="宋体" w:hAnsi="宋体" w:eastAsia="宋体" w:cs="宋体"/>
          <w:sz w:val="24"/>
          <w:lang w:eastAsia="zh-CN"/>
        </w:rPr>
        <w:t xml:space="preserve">       </w:t>
      </w:r>
    </w:p>
    <w:p>
      <w:pPr>
        <w:spacing w:before="76" w:line="360" w:lineRule="auto"/>
        <w:ind w:left="1204" w:right="2409"/>
        <w:rPr>
          <w:rFonts w:hint="eastAsia" w:ascii="宋体" w:hAnsi="宋体" w:eastAsia="宋体" w:cs="宋体"/>
          <w:sz w:val="24"/>
          <w:szCs w:val="24"/>
          <w:lang w:eastAsia="zh-CN"/>
        </w:rPr>
      </w:pPr>
      <w:r>
        <w:rPr>
          <w:rFonts w:hint="eastAsia" w:ascii="宋体" w:hAnsi="宋体" w:eastAsia="宋体" w:cs="宋体"/>
          <w:sz w:val="24"/>
          <w:szCs w:val="24"/>
          <w:lang w:eastAsia="zh-CN"/>
        </w:rPr>
        <w:t>地 址：高淳区东坝街道</w:t>
      </w:r>
      <w:r>
        <w:rPr>
          <w:rFonts w:hint="eastAsia" w:ascii="宋体" w:hAnsi="宋体" w:eastAsia="宋体" w:cs="宋体"/>
          <w:sz w:val="24"/>
          <w:lang w:eastAsia="zh-CN"/>
        </w:rPr>
        <w:t>办事处</w:t>
      </w:r>
    </w:p>
    <w:p>
      <w:pPr>
        <w:spacing w:line="360" w:lineRule="auto"/>
        <w:ind w:left="1204"/>
        <w:rPr>
          <w:rFonts w:hint="eastAsia" w:ascii="宋体" w:hAnsi="宋体" w:eastAsia="宋体" w:cs="宋体"/>
          <w:sz w:val="24"/>
          <w:szCs w:val="24"/>
          <w:lang w:eastAsia="zh-CN"/>
        </w:rPr>
      </w:pPr>
      <w:r>
        <w:rPr>
          <w:rFonts w:hint="eastAsia" w:ascii="宋体" w:hAnsi="宋体" w:eastAsia="宋体" w:cs="宋体"/>
          <w:sz w:val="24"/>
          <w:szCs w:val="24"/>
          <w:lang w:eastAsia="zh-CN"/>
        </w:rPr>
        <w:t>联系人：金工</w:t>
      </w:r>
    </w:p>
    <w:p>
      <w:pPr>
        <w:spacing w:before="113" w:line="360" w:lineRule="auto"/>
        <w:ind w:left="1204" w:right="141"/>
        <w:rPr>
          <w:rFonts w:hint="eastAsia" w:ascii="宋体" w:hAnsi="宋体" w:eastAsia="宋体" w:cs="宋体"/>
          <w:sz w:val="24"/>
          <w:lang w:eastAsia="zh-CN"/>
        </w:rPr>
      </w:pPr>
      <w:r>
        <w:rPr>
          <w:rFonts w:hint="eastAsia" w:ascii="宋体" w:hAnsi="宋体" w:eastAsia="宋体" w:cs="宋体"/>
          <w:sz w:val="24"/>
          <w:szCs w:val="24"/>
          <w:lang w:eastAsia="zh-CN"/>
        </w:rPr>
        <w:t>联系方式：18168057721</w:t>
      </w:r>
    </w:p>
    <w:p>
      <w:pPr>
        <w:spacing w:before="113" w:line="360" w:lineRule="auto"/>
        <w:ind w:left="1204" w:right="5953"/>
        <w:rPr>
          <w:rFonts w:hint="eastAsia" w:ascii="宋体" w:hAnsi="宋体" w:eastAsia="宋体" w:cs="宋体"/>
          <w:sz w:val="24"/>
          <w:szCs w:val="24"/>
          <w:lang w:eastAsia="zh-CN"/>
        </w:rPr>
      </w:pPr>
      <w:r>
        <w:rPr>
          <w:rFonts w:hint="eastAsia" w:ascii="宋体" w:hAnsi="宋体" w:eastAsia="宋体" w:cs="宋体"/>
          <w:sz w:val="24"/>
          <w:szCs w:val="24"/>
          <w:lang w:eastAsia="zh-CN"/>
        </w:rPr>
        <w:t>2.采购代理机构信息</w:t>
      </w:r>
    </w:p>
    <w:p>
      <w:pPr>
        <w:spacing w:line="360" w:lineRule="auto"/>
        <w:ind w:left="1204"/>
        <w:rPr>
          <w:rFonts w:hint="eastAsia" w:ascii="宋体" w:hAnsi="宋体" w:eastAsia="宋体" w:cs="宋体"/>
          <w:sz w:val="24"/>
          <w:szCs w:val="24"/>
          <w:lang w:eastAsia="zh-CN"/>
        </w:rPr>
      </w:pPr>
      <w:r>
        <w:rPr>
          <w:rFonts w:hint="eastAsia" w:ascii="宋体" w:hAnsi="宋体" w:eastAsia="宋体" w:cs="宋体"/>
          <w:sz w:val="24"/>
          <w:szCs w:val="24"/>
          <w:lang w:eastAsia="zh-CN"/>
        </w:rPr>
        <w:t>名 称：南京</w:t>
      </w:r>
      <w:r>
        <w:rPr>
          <w:rFonts w:hint="eastAsia" w:ascii="宋体" w:hAnsi="宋体" w:eastAsia="宋体" w:cs="宋体"/>
          <w:sz w:val="24"/>
          <w:lang w:eastAsia="zh-CN"/>
        </w:rPr>
        <w:t>衡岳咨询有限公司</w:t>
      </w:r>
    </w:p>
    <w:p>
      <w:pPr>
        <w:spacing w:before="112" w:line="360" w:lineRule="auto"/>
        <w:ind w:left="1204" w:right="3840"/>
        <w:rPr>
          <w:rFonts w:hint="eastAsia" w:ascii="宋体" w:hAnsi="宋体" w:eastAsia="宋体" w:cs="宋体"/>
          <w:spacing w:val="-39"/>
          <w:sz w:val="24"/>
          <w:lang w:eastAsia="zh-CN"/>
        </w:rPr>
      </w:pPr>
      <w:r>
        <w:rPr>
          <w:rFonts w:hint="eastAsia" w:ascii="宋体" w:hAnsi="宋体" w:eastAsia="宋体" w:cs="宋体"/>
          <w:spacing w:val="-5"/>
          <w:sz w:val="24"/>
          <w:szCs w:val="24"/>
          <w:lang w:eastAsia="zh-CN"/>
        </w:rPr>
        <w:t>地 址：</w:t>
      </w:r>
      <w:r>
        <w:rPr>
          <w:rFonts w:hint="eastAsia" w:ascii="宋体" w:hAnsi="宋体" w:eastAsia="宋体" w:cs="宋体"/>
          <w:spacing w:val="-30"/>
          <w:sz w:val="24"/>
          <w:szCs w:val="24"/>
          <w:lang w:eastAsia="zh-CN"/>
        </w:rPr>
        <w:t xml:space="preserve"> </w:t>
      </w:r>
      <w:r>
        <w:rPr>
          <w:rFonts w:hint="eastAsia" w:ascii="宋体" w:hAnsi="宋体" w:eastAsia="宋体" w:cs="宋体"/>
          <w:bCs/>
          <w:sz w:val="24"/>
          <w:szCs w:val="24"/>
          <w:lang w:eastAsia="zh-CN"/>
        </w:rPr>
        <w:t>南京市高淳区东坝街道胥溪路3号</w:t>
      </w:r>
    </w:p>
    <w:p>
      <w:pPr>
        <w:spacing w:before="112" w:line="360" w:lineRule="auto"/>
        <w:ind w:left="1204" w:right="3840"/>
        <w:rPr>
          <w:rFonts w:hint="eastAsia" w:ascii="宋体" w:hAnsi="宋体" w:eastAsia="宋体" w:cs="宋体"/>
          <w:sz w:val="24"/>
          <w:szCs w:val="24"/>
          <w:lang w:eastAsia="zh-CN"/>
        </w:rPr>
      </w:pPr>
      <w:r>
        <w:rPr>
          <w:rFonts w:hint="eastAsia" w:ascii="宋体" w:hAnsi="宋体" w:eastAsia="宋体" w:cs="宋体"/>
          <w:sz w:val="24"/>
          <w:szCs w:val="24"/>
          <w:lang w:eastAsia="zh-CN"/>
        </w:rPr>
        <w:t>联系方式：</w:t>
      </w:r>
      <w:r>
        <w:rPr>
          <w:rFonts w:hint="eastAsia" w:ascii="宋体" w:hAnsi="宋体" w:eastAsia="宋体" w:cs="宋体"/>
          <w:sz w:val="24"/>
          <w:lang w:eastAsia="zh-CN"/>
        </w:rPr>
        <w:t>18551783688</w:t>
      </w:r>
    </w:p>
    <w:p>
      <w:pPr>
        <w:spacing w:line="360" w:lineRule="auto"/>
        <w:ind w:left="1204" w:right="652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3.项目联系方式 </w:t>
      </w:r>
    </w:p>
    <w:p>
      <w:pPr>
        <w:spacing w:line="360" w:lineRule="auto"/>
        <w:ind w:left="1204" w:right="6520"/>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项目联系人：</w:t>
      </w:r>
      <w:r>
        <w:rPr>
          <w:rFonts w:hint="eastAsia" w:ascii="宋体" w:hAnsi="宋体" w:eastAsia="宋体" w:cs="宋体"/>
          <w:spacing w:val="-3"/>
          <w:sz w:val="24"/>
          <w:lang w:eastAsia="zh-CN"/>
        </w:rPr>
        <w:t>陈</w:t>
      </w:r>
      <w:r>
        <w:rPr>
          <w:rFonts w:hint="eastAsia" w:ascii="宋体" w:hAnsi="宋体" w:eastAsia="宋体" w:cs="宋体"/>
          <w:spacing w:val="-3"/>
          <w:sz w:val="24"/>
          <w:szCs w:val="24"/>
          <w:lang w:eastAsia="zh-CN"/>
        </w:rPr>
        <w:t>工</w:t>
      </w:r>
    </w:p>
    <w:p>
      <w:pPr>
        <w:spacing w:line="360" w:lineRule="auto"/>
        <w:ind w:left="1204"/>
        <w:rPr>
          <w:rFonts w:hint="eastAsia" w:ascii="宋体" w:hAnsi="宋体" w:eastAsia="宋体" w:cs="宋体"/>
          <w:lang w:eastAsia="zh-CN"/>
        </w:rPr>
      </w:pPr>
      <w:r>
        <w:rPr>
          <w:rFonts w:hint="eastAsia" w:ascii="宋体" w:hAnsi="宋体" w:eastAsia="宋体" w:cs="宋体"/>
          <w:sz w:val="24"/>
          <w:szCs w:val="24"/>
          <w:lang w:eastAsia="zh-CN"/>
        </w:rPr>
        <w:t>电话：</w:t>
      </w:r>
      <w:r>
        <w:rPr>
          <w:rFonts w:hint="eastAsia" w:ascii="宋体" w:hAnsi="宋体" w:eastAsia="宋体" w:cs="宋体"/>
          <w:sz w:val="24"/>
          <w:lang w:eastAsia="zh-CN"/>
        </w:rPr>
        <w:t>18551783688</w:t>
      </w:r>
    </w:p>
    <w:sectPr>
      <w:headerReference r:id="rId3" w:type="default"/>
      <w:footerReference r:id="rId4" w:type="default"/>
      <w:pgSz w:w="11910" w:h="16840"/>
      <w:pgMar w:top="1580" w:right="480" w:bottom="1620" w:left="860" w:header="0" w:footer="1345"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eastAsia" w:ascii="宋体" w:hAnsi="宋体"/>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rPr>
                          </w:pPr>
                          <w:r>
                            <w:t xml:space="preserve">第 </w:t>
                          </w:r>
                          <w:r>
                            <w:fldChar w:fldCharType="begin"/>
                          </w:r>
                          <w:r>
                            <w:instrText xml:space="preserve"> PAGE  \* MERGEFORMAT </w:instrText>
                          </w:r>
                          <w:r>
                            <w:fldChar w:fldCharType="separate"/>
                          </w:r>
                          <w:r>
                            <w:t>16</w:t>
                          </w:r>
                          <w:r>
                            <w:fldChar w:fldCharType="end"/>
                          </w:r>
                          <w:r>
                            <w:t xml:space="preserve"> 页 共 </w:t>
                          </w:r>
                          <w:r>
                            <w:fldChar w:fldCharType="begin"/>
                          </w:r>
                          <w:r>
                            <w:instrText xml:space="preserve"> NUMPAGES  \* MERGEFORMAT </w:instrText>
                          </w:r>
                          <w:r>
                            <w:fldChar w:fldCharType="separate"/>
                          </w:r>
                          <w:r>
                            <w:t>29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oI+MdEAIAAAcEAAAOAAAAAAAAAAEAIAAA&#10;AB8BAABkcnMvZTJvRG9jLnhtbFBLBQYAAAAABgAGAFkBAAChBQAAAAA=&#10;">
              <v:fill on="f" focussize="0,0"/>
              <v:stroke on="f" weight="0.5pt"/>
              <v:imagedata o:title=""/>
              <o:lock v:ext="edit" aspectratio="f"/>
              <v:textbox inset="0mm,0mm,0mm,0mm" style="mso-fit-shape-to-text:t;">
                <w:txbxContent>
                  <w:p>
                    <w:pPr>
                      <w:pStyle w:val="12"/>
                      <w:rPr>
                        <w:rFonts w:hint="eastAsia"/>
                      </w:rPr>
                    </w:pPr>
                    <w:r>
                      <w:t xml:space="preserve">第 </w:t>
                    </w:r>
                    <w:r>
                      <w:fldChar w:fldCharType="begin"/>
                    </w:r>
                    <w:r>
                      <w:instrText xml:space="preserve"> PAGE  \* MERGEFORMAT </w:instrText>
                    </w:r>
                    <w:r>
                      <w:fldChar w:fldCharType="separate"/>
                    </w:r>
                    <w:r>
                      <w:t>16</w:t>
                    </w:r>
                    <w:r>
                      <w:fldChar w:fldCharType="end"/>
                    </w:r>
                    <w:r>
                      <w:t xml:space="preserve"> 页 共 </w:t>
                    </w:r>
                    <w:r>
                      <w:fldChar w:fldCharType="begin"/>
                    </w:r>
                    <w:r>
                      <w:instrText xml:space="preserve"> NUMPAGES  \* MERGEFORMAT </w:instrText>
                    </w:r>
                    <w:r>
                      <w:fldChar w:fldCharType="separate"/>
                    </w:r>
                    <w:r>
                      <w:t>29</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wordWrap w:val="0"/>
      <w:jc w:val="right"/>
      <w:rPr>
        <w:rFonts w:hint="eastAsia"/>
        <w:b/>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250"/>
    <w:rsid w:val="00056749"/>
    <w:rsid w:val="000A58B7"/>
    <w:rsid w:val="000F5287"/>
    <w:rsid w:val="001031E6"/>
    <w:rsid w:val="00117477"/>
    <w:rsid w:val="00143A07"/>
    <w:rsid w:val="00154102"/>
    <w:rsid w:val="00165CC8"/>
    <w:rsid w:val="001A18D9"/>
    <w:rsid w:val="001C4E4C"/>
    <w:rsid w:val="0024503E"/>
    <w:rsid w:val="00285306"/>
    <w:rsid w:val="00304250"/>
    <w:rsid w:val="0031427A"/>
    <w:rsid w:val="00314B71"/>
    <w:rsid w:val="00362C12"/>
    <w:rsid w:val="0038363C"/>
    <w:rsid w:val="003F5C12"/>
    <w:rsid w:val="004027DE"/>
    <w:rsid w:val="00437BBC"/>
    <w:rsid w:val="00437D7E"/>
    <w:rsid w:val="005172A3"/>
    <w:rsid w:val="00561D8B"/>
    <w:rsid w:val="005B1605"/>
    <w:rsid w:val="005C58D8"/>
    <w:rsid w:val="00605BE5"/>
    <w:rsid w:val="006258B5"/>
    <w:rsid w:val="00650443"/>
    <w:rsid w:val="0069006D"/>
    <w:rsid w:val="00702D24"/>
    <w:rsid w:val="007B2444"/>
    <w:rsid w:val="007C5718"/>
    <w:rsid w:val="007E19D4"/>
    <w:rsid w:val="007E1CB2"/>
    <w:rsid w:val="008366D6"/>
    <w:rsid w:val="0087257E"/>
    <w:rsid w:val="008D354A"/>
    <w:rsid w:val="008E1C55"/>
    <w:rsid w:val="008E407B"/>
    <w:rsid w:val="009E1819"/>
    <w:rsid w:val="009E4E2E"/>
    <w:rsid w:val="00AA617E"/>
    <w:rsid w:val="00B27B7F"/>
    <w:rsid w:val="00B510FA"/>
    <w:rsid w:val="00B52F9C"/>
    <w:rsid w:val="00B9504A"/>
    <w:rsid w:val="00BE3376"/>
    <w:rsid w:val="00BF73AD"/>
    <w:rsid w:val="00C77A95"/>
    <w:rsid w:val="00C87906"/>
    <w:rsid w:val="00CB6017"/>
    <w:rsid w:val="00CC0633"/>
    <w:rsid w:val="00CD16C5"/>
    <w:rsid w:val="00CE574F"/>
    <w:rsid w:val="00CE5CC9"/>
    <w:rsid w:val="00D108A7"/>
    <w:rsid w:val="00DC5391"/>
    <w:rsid w:val="00DF2C3B"/>
    <w:rsid w:val="00DF5F84"/>
    <w:rsid w:val="00E028FD"/>
    <w:rsid w:val="00E11030"/>
    <w:rsid w:val="00E30B20"/>
    <w:rsid w:val="00F20F42"/>
    <w:rsid w:val="00F86683"/>
    <w:rsid w:val="00FA40F2"/>
    <w:rsid w:val="00FB643F"/>
    <w:rsid w:val="00FF64EC"/>
    <w:rsid w:val="08EB30F3"/>
    <w:rsid w:val="0A530F50"/>
    <w:rsid w:val="0C4F7756"/>
    <w:rsid w:val="10382960"/>
    <w:rsid w:val="13E744C4"/>
    <w:rsid w:val="155838BF"/>
    <w:rsid w:val="168406E3"/>
    <w:rsid w:val="19AA2584"/>
    <w:rsid w:val="1C441279"/>
    <w:rsid w:val="1DD737EE"/>
    <w:rsid w:val="209B4FA7"/>
    <w:rsid w:val="213D605E"/>
    <w:rsid w:val="24A87C93"/>
    <w:rsid w:val="26971D6D"/>
    <w:rsid w:val="27855BE9"/>
    <w:rsid w:val="2BD870AF"/>
    <w:rsid w:val="36D44917"/>
    <w:rsid w:val="3E2B7513"/>
    <w:rsid w:val="40832AA9"/>
    <w:rsid w:val="41B079AE"/>
    <w:rsid w:val="518C579C"/>
    <w:rsid w:val="58523BC2"/>
    <w:rsid w:val="59001773"/>
    <w:rsid w:val="5DB7243A"/>
    <w:rsid w:val="5EAE58CA"/>
    <w:rsid w:val="5F8B602D"/>
    <w:rsid w:val="675555AE"/>
    <w:rsid w:val="678775D2"/>
    <w:rsid w:val="74454183"/>
    <w:rsid w:val="76326989"/>
    <w:rsid w:val="7A0743E5"/>
    <w:rsid w:val="7B5F1FCE"/>
    <w:rsid w:val="7CF05436"/>
    <w:rsid w:val="7E1F6BF8"/>
    <w:rsid w:val="7EA84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仿宋" w:hAnsi="仿宋" w:eastAsia="仿宋" w:cs="仿宋"/>
      <w:sz w:val="22"/>
      <w:szCs w:val="22"/>
      <w:lang w:val="en-US" w:eastAsia="en-US" w:bidi="ar-SA"/>
    </w:rPr>
  </w:style>
  <w:style w:type="paragraph" w:styleId="2">
    <w:name w:val="heading 1"/>
    <w:basedOn w:val="1"/>
    <w:next w:val="1"/>
    <w:qFormat/>
    <w:uiPriority w:val="9"/>
    <w:pPr>
      <w:outlineLvl w:val="0"/>
    </w:pPr>
    <w:rPr>
      <w:sz w:val="35"/>
      <w:szCs w:val="35"/>
    </w:rPr>
  </w:style>
  <w:style w:type="paragraph" w:styleId="3">
    <w:name w:val="heading 2"/>
    <w:basedOn w:val="1"/>
    <w:next w:val="1"/>
    <w:unhideWhenUsed/>
    <w:qFormat/>
    <w:uiPriority w:val="9"/>
    <w:pPr>
      <w:spacing w:line="531" w:lineRule="exact"/>
      <w:ind w:left="407"/>
      <w:outlineLvl w:val="1"/>
    </w:pPr>
    <w:rPr>
      <w:rFonts w:ascii="微软雅黑" w:hAnsi="微软雅黑" w:eastAsia="微软雅黑" w:cs="微软雅黑"/>
      <w:b/>
      <w:bCs/>
      <w:sz w:val="31"/>
      <w:szCs w:val="31"/>
    </w:rPr>
  </w:style>
  <w:style w:type="paragraph" w:styleId="4">
    <w:name w:val="heading 3"/>
    <w:basedOn w:val="1"/>
    <w:next w:val="1"/>
    <w:unhideWhenUsed/>
    <w:qFormat/>
    <w:uiPriority w:val="9"/>
    <w:pPr>
      <w:spacing w:before="1"/>
      <w:outlineLvl w:val="2"/>
    </w:pPr>
    <w:rPr>
      <w:sz w:val="31"/>
      <w:szCs w:val="31"/>
    </w:rPr>
  </w:style>
  <w:style w:type="paragraph" w:styleId="5">
    <w:name w:val="heading 4"/>
    <w:basedOn w:val="1"/>
    <w:next w:val="1"/>
    <w:unhideWhenUsed/>
    <w:qFormat/>
    <w:uiPriority w:val="9"/>
    <w:pPr>
      <w:spacing w:line="504" w:lineRule="exact"/>
      <w:ind w:right="379"/>
      <w:jc w:val="center"/>
      <w:outlineLvl w:val="3"/>
    </w:pPr>
    <w:rPr>
      <w:rFonts w:ascii="微软雅黑" w:hAnsi="微软雅黑" w:eastAsia="微软雅黑" w:cs="微软雅黑"/>
      <w:b/>
      <w:bCs/>
      <w:sz w:val="29"/>
      <w:szCs w:val="29"/>
    </w:rPr>
  </w:style>
  <w:style w:type="paragraph" w:styleId="6">
    <w:name w:val="heading 5"/>
    <w:basedOn w:val="1"/>
    <w:next w:val="1"/>
    <w:unhideWhenUsed/>
    <w:qFormat/>
    <w:uiPriority w:val="9"/>
    <w:pPr>
      <w:ind w:left="2063"/>
      <w:outlineLvl w:val="4"/>
    </w:pPr>
    <w:rPr>
      <w:sz w:val="27"/>
      <w:szCs w:val="27"/>
    </w:rPr>
  </w:style>
  <w:style w:type="paragraph" w:styleId="7">
    <w:name w:val="heading 6"/>
    <w:basedOn w:val="1"/>
    <w:next w:val="1"/>
    <w:unhideWhenUsed/>
    <w:qFormat/>
    <w:uiPriority w:val="9"/>
    <w:pPr>
      <w:ind w:left="407"/>
      <w:outlineLvl w:val="5"/>
    </w:pPr>
    <w:rPr>
      <w:rFonts w:ascii="微软雅黑" w:hAnsi="微软雅黑" w:eastAsia="微软雅黑" w:cs="微软雅黑"/>
      <w:b/>
      <w:bCs/>
      <w:sz w:val="23"/>
      <w:szCs w:val="23"/>
    </w:rPr>
  </w:style>
  <w:style w:type="character" w:default="1" w:styleId="21">
    <w:name w:val="Default Paragraph Font"/>
    <w:semiHidden/>
    <w:unhideWhenUsed/>
    <w:uiPriority w:val="1"/>
  </w:style>
  <w:style w:type="table" w:default="1" w:styleId="20">
    <w:name w:val="Normal Table"/>
    <w:semiHidden/>
    <w:unhideWhenUsed/>
    <w:uiPriority w:val="99"/>
    <w:tblPr>
      <w:tblLayout w:type="fixed"/>
      <w:tblCellMar>
        <w:top w:w="0" w:type="dxa"/>
        <w:left w:w="108" w:type="dxa"/>
        <w:bottom w:w="0" w:type="dxa"/>
        <w:right w:w="108" w:type="dxa"/>
      </w:tblCellMar>
    </w:tblPr>
  </w:style>
  <w:style w:type="paragraph" w:styleId="8">
    <w:name w:val="Normal Indent"/>
    <w:basedOn w:val="1"/>
    <w:qFormat/>
    <w:uiPriority w:val="0"/>
    <w:pPr>
      <w:ind w:firstLine="420"/>
    </w:pPr>
  </w:style>
  <w:style w:type="paragraph" w:styleId="9">
    <w:name w:val="Body Text"/>
    <w:basedOn w:val="1"/>
    <w:link w:val="32"/>
    <w:qFormat/>
    <w:uiPriority w:val="1"/>
    <w:rPr>
      <w:sz w:val="23"/>
      <w:szCs w:val="23"/>
    </w:rPr>
  </w:style>
  <w:style w:type="paragraph" w:styleId="10">
    <w:name w:val="Block Text"/>
    <w:basedOn w:val="1"/>
    <w:qFormat/>
    <w:uiPriority w:val="0"/>
    <w:pPr>
      <w:adjustRightInd w:val="0"/>
      <w:ind w:left="420" w:right="33"/>
      <w:textAlignment w:val="baseline"/>
    </w:pPr>
    <w:rPr>
      <w:szCs w:val="20"/>
    </w:rPr>
  </w:style>
  <w:style w:type="paragraph" w:styleId="11">
    <w:name w:val="Plain Text"/>
    <w:basedOn w:val="1"/>
    <w:link w:val="34"/>
    <w:qFormat/>
    <w:uiPriority w:val="0"/>
    <w:pPr>
      <w:autoSpaceDE/>
      <w:autoSpaceDN/>
      <w:jc w:val="both"/>
    </w:pPr>
    <w:rPr>
      <w:rFonts w:ascii="宋体" w:hAnsi="Courier New" w:eastAsia="黑体" w:cs="Courier New"/>
      <w:kern w:val="2"/>
      <w:sz w:val="21"/>
      <w:szCs w:val="21"/>
      <w:lang w:eastAsia="zh-CN"/>
    </w:rPr>
  </w:style>
  <w:style w:type="paragraph" w:styleId="12">
    <w:name w:val="footer"/>
    <w:basedOn w:val="1"/>
    <w:link w:val="26"/>
    <w:unhideWhenUsed/>
    <w:qFormat/>
    <w:uiPriority w:val="99"/>
    <w:pPr>
      <w:tabs>
        <w:tab w:val="center" w:pos="4153"/>
        <w:tab w:val="right" w:pos="8306"/>
      </w:tabs>
      <w:snapToGrid w:val="0"/>
    </w:pPr>
    <w:rPr>
      <w:sz w:val="18"/>
      <w:szCs w:val="18"/>
    </w:rPr>
  </w:style>
  <w:style w:type="paragraph" w:styleId="13">
    <w:name w:val="header"/>
    <w:basedOn w:val="1"/>
    <w:link w:val="25"/>
    <w:unhideWhenUsed/>
    <w:qFormat/>
    <w:uiPriority w:val="99"/>
    <w:pPr>
      <w:tabs>
        <w:tab w:val="center" w:pos="4153"/>
        <w:tab w:val="right" w:pos="8306"/>
      </w:tabs>
      <w:snapToGrid w:val="0"/>
      <w:jc w:val="center"/>
    </w:pPr>
    <w:rPr>
      <w:sz w:val="18"/>
      <w:szCs w:val="18"/>
    </w:rPr>
  </w:style>
  <w:style w:type="paragraph" w:styleId="14">
    <w:name w:val="toc 1"/>
    <w:basedOn w:val="1"/>
    <w:next w:val="1"/>
    <w:semiHidden/>
    <w:unhideWhenUsed/>
    <w:uiPriority w:val="39"/>
  </w:style>
  <w:style w:type="paragraph" w:styleId="15">
    <w:name w:val="Body Text Indent 3"/>
    <w:basedOn w:val="1"/>
    <w:link w:val="37"/>
    <w:semiHidden/>
    <w:unhideWhenUsed/>
    <w:qFormat/>
    <w:uiPriority w:val="99"/>
    <w:pPr>
      <w:spacing w:after="120"/>
      <w:ind w:left="420" w:leftChars="200"/>
    </w:pPr>
    <w:rPr>
      <w:sz w:val="16"/>
      <w:szCs w:val="16"/>
    </w:rPr>
  </w:style>
  <w:style w:type="paragraph" w:styleId="16">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500" w:leftChars="500" w:hanging="1080" w:hangingChars="500"/>
    </w:pPr>
    <w:rPr>
      <w:rFonts w:ascii="Arial" w:hAnsi="Arial"/>
      <w:sz w:val="24"/>
    </w:rPr>
  </w:style>
  <w:style w:type="paragraph" w:styleId="17">
    <w:name w:val="Normal (Web)"/>
    <w:basedOn w:val="1"/>
    <w:qFormat/>
    <w:uiPriority w:val="0"/>
    <w:rPr>
      <w:rFonts w:cs="Times New Roman"/>
      <w:sz w:val="24"/>
      <w:lang w:eastAsia="zh-CN"/>
    </w:rPr>
  </w:style>
  <w:style w:type="paragraph" w:styleId="18">
    <w:name w:val="Title"/>
    <w:basedOn w:val="1"/>
    <w:next w:val="1"/>
    <w:link w:val="35"/>
    <w:qFormat/>
    <w:uiPriority w:val="0"/>
    <w:pPr>
      <w:widowControl/>
      <w:overflowPunct w:val="0"/>
      <w:adjustRightInd w:val="0"/>
      <w:spacing w:line="420" w:lineRule="exact"/>
      <w:jc w:val="center"/>
      <w:textAlignment w:val="baseline"/>
    </w:pPr>
    <w:rPr>
      <w:rFonts w:ascii="Times New Roman" w:hAnsi="Times New Roman" w:eastAsia="黑体" w:cs="Times New Roman"/>
      <w:b/>
      <w:sz w:val="28"/>
      <w:lang w:val="en-GB" w:eastAsia="zh-CN"/>
    </w:rPr>
  </w:style>
  <w:style w:type="paragraph" w:styleId="19">
    <w:name w:val="Body Text First Indent"/>
    <w:basedOn w:val="9"/>
    <w:link w:val="33"/>
    <w:semiHidden/>
    <w:unhideWhenUsed/>
    <w:qFormat/>
    <w:uiPriority w:val="99"/>
    <w:pPr>
      <w:spacing w:after="120"/>
      <w:ind w:firstLine="420" w:firstLineChars="100"/>
    </w:pPr>
    <w:rPr>
      <w:sz w:val="22"/>
      <w:szCs w:val="22"/>
    </w:rPr>
  </w:style>
  <w:style w:type="table" w:customStyle="1" w:styleId="22">
    <w:name w:val="Table Normal"/>
    <w:semiHidden/>
    <w:unhideWhenUsed/>
    <w:qFormat/>
    <w:uiPriority w:val="2"/>
    <w:tblPr>
      <w:tblLayout w:type="fixed"/>
      <w:tblCellMar>
        <w:top w:w="0" w:type="dxa"/>
        <w:left w:w="0" w:type="dxa"/>
        <w:bottom w:w="0" w:type="dxa"/>
        <w:right w:w="0" w:type="dxa"/>
      </w:tblCellMar>
    </w:tblPr>
  </w:style>
  <w:style w:type="paragraph" w:styleId="23">
    <w:name w:val="List Paragraph"/>
    <w:basedOn w:val="1"/>
    <w:qFormat/>
    <w:uiPriority w:val="1"/>
    <w:pPr>
      <w:ind w:left="407" w:hanging="585"/>
    </w:pPr>
  </w:style>
  <w:style w:type="paragraph" w:customStyle="1" w:styleId="24">
    <w:name w:val="Table Paragraph"/>
    <w:basedOn w:val="1"/>
    <w:qFormat/>
    <w:uiPriority w:val="1"/>
  </w:style>
  <w:style w:type="character" w:customStyle="1" w:styleId="25">
    <w:name w:val="页眉 字符"/>
    <w:basedOn w:val="21"/>
    <w:link w:val="13"/>
    <w:qFormat/>
    <w:uiPriority w:val="99"/>
    <w:rPr>
      <w:rFonts w:ascii="仿宋" w:hAnsi="仿宋" w:eastAsia="仿宋" w:cs="仿宋"/>
      <w:sz w:val="18"/>
      <w:szCs w:val="18"/>
    </w:rPr>
  </w:style>
  <w:style w:type="character" w:customStyle="1" w:styleId="26">
    <w:name w:val="页脚 字符"/>
    <w:basedOn w:val="21"/>
    <w:link w:val="12"/>
    <w:qFormat/>
    <w:uiPriority w:val="99"/>
    <w:rPr>
      <w:rFonts w:ascii="仿宋" w:hAnsi="仿宋" w:eastAsia="仿宋" w:cs="仿宋"/>
      <w:sz w:val="18"/>
      <w:szCs w:val="18"/>
    </w:rPr>
  </w:style>
  <w:style w:type="paragraph" w:customStyle="1" w:styleId="27">
    <w:name w:val="列出段落1"/>
    <w:basedOn w:val="1"/>
    <w:unhideWhenUsed/>
    <w:qFormat/>
    <w:uiPriority w:val="34"/>
    <w:pPr>
      <w:autoSpaceDE/>
      <w:autoSpaceDN/>
      <w:ind w:firstLine="420" w:firstLineChars="200"/>
      <w:jc w:val="both"/>
    </w:pPr>
    <w:rPr>
      <w:rFonts w:ascii="Times New Roman" w:hAnsi="Times New Roman" w:eastAsia="宋体" w:cs="Times New Roman"/>
      <w:kern w:val="2"/>
      <w:sz w:val="21"/>
      <w:szCs w:val="24"/>
      <w:lang w:eastAsia="zh-CN"/>
    </w:rPr>
  </w:style>
  <w:style w:type="paragraph" w:customStyle="1" w:styleId="28">
    <w:name w:val="标题 411"/>
    <w:basedOn w:val="1"/>
    <w:next w:val="1"/>
    <w:link w:val="29"/>
    <w:qFormat/>
    <w:uiPriority w:val="0"/>
    <w:pPr>
      <w:keepNext/>
      <w:keepLines/>
      <w:autoSpaceDE/>
      <w:autoSpaceDN/>
      <w:spacing w:before="120" w:after="120"/>
      <w:jc w:val="both"/>
      <w:outlineLvl w:val="3"/>
    </w:pPr>
    <w:rPr>
      <w:rFonts w:ascii="Arial" w:hAnsi="Arial" w:eastAsia="黑体" w:cs="Times New Roman"/>
      <w:b/>
      <w:sz w:val="28"/>
      <w:szCs w:val="24"/>
      <w:lang w:eastAsia="zh-CN"/>
    </w:rPr>
  </w:style>
  <w:style w:type="character" w:customStyle="1" w:styleId="29">
    <w:name w:val="标题 4 字符2"/>
    <w:link w:val="28"/>
    <w:qFormat/>
    <w:uiPriority w:val="0"/>
    <w:rPr>
      <w:rFonts w:ascii="Arial" w:hAnsi="Arial" w:eastAsia="黑体" w:cs="Times New Roman"/>
      <w:b/>
      <w:sz w:val="28"/>
      <w:szCs w:val="24"/>
      <w:lang w:eastAsia="zh-CN"/>
    </w:rPr>
  </w:style>
  <w:style w:type="paragraph" w:customStyle="1" w:styleId="30">
    <w:name w:val="Style1"/>
    <w:basedOn w:val="1"/>
    <w:qFormat/>
    <w:uiPriority w:val="0"/>
    <w:pPr>
      <w:widowControl/>
      <w:tabs>
        <w:tab w:val="left" w:pos="-720"/>
      </w:tabs>
      <w:autoSpaceDE/>
      <w:autoSpaceDN/>
      <w:spacing w:after="120"/>
      <w:jc w:val="both"/>
    </w:pPr>
    <w:rPr>
      <w:rFonts w:ascii="Calibri" w:hAnsi="Calibri" w:eastAsia="宋体" w:cs="Times New Roman"/>
      <w:spacing w:val="-3"/>
      <w:sz w:val="24"/>
      <w:szCs w:val="20"/>
      <w:lang w:val="en-AU"/>
    </w:rPr>
  </w:style>
  <w:style w:type="paragraph" w:customStyle="1" w:styleId="31">
    <w:name w:val="列表段落1"/>
    <w:basedOn w:val="1"/>
    <w:qFormat/>
    <w:uiPriority w:val="34"/>
    <w:pPr>
      <w:autoSpaceDE/>
      <w:autoSpaceDN/>
      <w:ind w:firstLine="420"/>
      <w:jc w:val="both"/>
    </w:pPr>
    <w:rPr>
      <w:rFonts w:ascii="Calibri" w:hAnsi="Calibri" w:eastAsia="宋体" w:cs="Times New Roman"/>
      <w:sz w:val="21"/>
      <w:szCs w:val="24"/>
      <w:lang w:eastAsia="zh-CN"/>
    </w:rPr>
  </w:style>
  <w:style w:type="character" w:customStyle="1" w:styleId="32">
    <w:name w:val="正文文本 字符"/>
    <w:basedOn w:val="21"/>
    <w:link w:val="9"/>
    <w:qFormat/>
    <w:uiPriority w:val="1"/>
    <w:rPr>
      <w:rFonts w:ascii="仿宋" w:hAnsi="仿宋" w:eastAsia="仿宋" w:cs="仿宋"/>
      <w:sz w:val="23"/>
      <w:szCs w:val="23"/>
    </w:rPr>
  </w:style>
  <w:style w:type="character" w:customStyle="1" w:styleId="33">
    <w:name w:val="正文文本首行缩进 字符"/>
    <w:basedOn w:val="32"/>
    <w:link w:val="19"/>
    <w:semiHidden/>
    <w:qFormat/>
    <w:uiPriority w:val="99"/>
    <w:rPr>
      <w:rFonts w:ascii="仿宋" w:hAnsi="仿宋" w:eastAsia="仿宋" w:cs="仿宋"/>
      <w:sz w:val="23"/>
      <w:szCs w:val="23"/>
    </w:rPr>
  </w:style>
  <w:style w:type="character" w:customStyle="1" w:styleId="34">
    <w:name w:val="纯文本 字符"/>
    <w:basedOn w:val="21"/>
    <w:link w:val="11"/>
    <w:qFormat/>
    <w:uiPriority w:val="0"/>
    <w:rPr>
      <w:rFonts w:ascii="宋体" w:hAnsi="Courier New" w:eastAsia="黑体" w:cs="Courier New"/>
      <w:kern w:val="2"/>
      <w:sz w:val="21"/>
      <w:szCs w:val="21"/>
      <w:lang w:eastAsia="zh-CN"/>
    </w:rPr>
  </w:style>
  <w:style w:type="character" w:customStyle="1" w:styleId="35">
    <w:name w:val="标题 字符"/>
    <w:basedOn w:val="21"/>
    <w:link w:val="18"/>
    <w:qFormat/>
    <w:uiPriority w:val="0"/>
    <w:rPr>
      <w:rFonts w:ascii="Times New Roman" w:hAnsi="Times New Roman" w:eastAsia="黑体" w:cs="Times New Roman"/>
      <w:b/>
      <w:sz w:val="28"/>
      <w:lang w:val="en-GB" w:eastAsia="zh-CN"/>
    </w:rPr>
  </w:style>
  <w:style w:type="paragraph" w:customStyle="1" w:styleId="36">
    <w:name w:val="BodyText"/>
    <w:basedOn w:val="1"/>
    <w:next w:val="1"/>
    <w:qFormat/>
    <w:uiPriority w:val="6"/>
    <w:pPr>
      <w:widowControl/>
      <w:autoSpaceDE/>
      <w:autoSpaceDN/>
      <w:jc w:val="both"/>
      <w:textAlignment w:val="baseline"/>
    </w:pPr>
    <w:rPr>
      <w:rFonts w:ascii="楷体_GB2312" w:hAnsi="楷体_GB2312" w:eastAsia="楷体_GB2312" w:cs="Arial"/>
      <w:kern w:val="2"/>
      <w:sz w:val="28"/>
      <w:lang w:eastAsia="zh-CN"/>
    </w:rPr>
  </w:style>
  <w:style w:type="character" w:customStyle="1" w:styleId="37">
    <w:name w:val="正文文本缩进 3 字符"/>
    <w:basedOn w:val="21"/>
    <w:link w:val="15"/>
    <w:semiHidden/>
    <w:qFormat/>
    <w:uiPriority w:val="99"/>
    <w:rPr>
      <w:rFonts w:ascii="仿宋" w:hAnsi="仿宋" w:eastAsia="仿宋" w:cs="仿宋"/>
      <w:sz w:val="16"/>
      <w:szCs w:val="16"/>
      <w:lang w:eastAsia="en-US"/>
    </w:rPr>
  </w:style>
  <w:style w:type="paragraph" w:customStyle="1" w:styleId="38">
    <w:name w:val="索引 41"/>
    <w:basedOn w:val="1"/>
    <w:next w:val="1"/>
    <w:semiHidden/>
    <w:qFormat/>
    <w:uiPriority w:val="0"/>
    <w:pPr>
      <w:ind w:left="1260"/>
    </w:pPr>
    <w:rPr>
      <w:rFonts w:ascii="Calibri" w:hAnsi="Calibri" w:eastAsia="Calibri" w:cs="宋体"/>
      <w:sz w:val="20"/>
      <w:lang w:val="zh-CN"/>
    </w:rPr>
  </w:style>
  <w:style w:type="paragraph" w:customStyle="1" w:styleId="39">
    <w:name w:val="正文_2_62"/>
    <w:basedOn w:val="1"/>
    <w:qFormat/>
    <w:uiPriority w:val="0"/>
    <w:rPr>
      <w:rFonts w:ascii="Times New Roman" w:hAnsi="Times New Roman" w:eastAsia="宋体" w:cs="Times New Roman"/>
      <w:szCs w:val="21"/>
      <w:lang w:val="zh-CN" w:bidi="zh-CN"/>
    </w:rPr>
  </w:style>
  <w:style w:type="paragraph" w:customStyle="1" w:styleId="40">
    <w:name w:val="页脚1"/>
    <w:basedOn w:val="1"/>
    <w:qFormat/>
    <w:uiPriority w:val="0"/>
    <w:pPr>
      <w:widowControl/>
      <w:tabs>
        <w:tab w:val="center" w:pos="4153"/>
        <w:tab w:val="right" w:pos="8306"/>
      </w:tabs>
      <w:snapToGrid w:val="0"/>
      <w:textAlignment w:val="baseline"/>
    </w:pPr>
    <w:rPr>
      <w:sz w:val="18"/>
    </w:rPr>
  </w:style>
  <w:style w:type="character" w:customStyle="1" w:styleId="41">
    <w:name w:val="NormalCharacter"/>
    <w:qFormat/>
    <w:uiPriority w:val="0"/>
  </w:style>
  <w:style w:type="character" w:customStyle="1" w:styleId="42">
    <w:name w:val="PageNumber"/>
    <w:basedOn w:val="4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36</Pages>
  <Words>9822</Words>
  <Characters>11198</Characters>
  <Lines>430</Lines>
  <Paragraphs>362</Paragraphs>
  <TotalTime>1</TotalTime>
  <ScaleCrop>false</ScaleCrop>
  <LinksUpToDate>false</LinksUpToDate>
  <CharactersWithSpaces>20658</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2026-09-02T02:14:00Z</dcterms:created>
  <dc:creator>AW</dc:creator>
  <cp:lastModifiedBy>Administrator</cp:lastModifiedBy>
  <cp:lastPrinted>2026-08-28T05:52:00Z</cp:lastPrinted>
  <dcterms:modified xsi:type="dcterms:W3CDTF">2026-09-04T06:31:12Z</dcterms:modified>
  <dc:title>ç«žäº›æ•§ç£‰åŁƒæŒ⁄ä»¶ï¼‹æ¸¸å?’å±±ï¼›.doc</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2025-10-27T00:00:00Z</vt:filetime>
  </property>
  <property fmtid="{D5CDD505-2E9C-101B-9397-08002B2CF9AE}" pid="3" name="LastSaved">
    <vt:filetime>2025-10-27T00:00:00Z</vt:filetime>
  </property>
  <property fmtid="{D5CDD505-2E9C-101B-9397-08002B2CF9AE}" pid="4" name="KSOTemplateDocerSaveRecord">
    <vt:lpwstr>eyJoZGlkIjoiNGMyODg3NmJlNjM4NzczMTU1MzIxZmQyOTZlNjFjZjEiLCJ1c2VySWQiOiIyNjkxMjY1MTYifQ==</vt:lpwstr>
  </property>
  <property fmtid="{D5CDD505-2E9C-101B-9397-08002B2CF9AE}" pid="5" name="KSOProductBuildVer">
    <vt:lpwstr>2052-11.1.0.8696</vt:lpwstr>
  </property>
  <property fmtid="{D5CDD505-2E9C-101B-9397-08002B2CF9AE}" pid="6" name="ICV">
    <vt:lpwstr>8404D90FF6674864B914AD4DB5BF6E05_13</vt:lpwstr>
  </property>
</Properties>
</file>